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Table of Contents"/>
          <w:docPartUnique w:val="true"/>
        </w:docPartObj>
      </w:sdtPr>
      <w:sdtContent>
        <w:p>
          <w:pPr>
            <w:pStyle w:val="Contents2"/>
            <w:ind w:left="220" w:firstLine="2660"/>
            <w:rPr/>
          </w:pPr>
          <w:r>
            <w:rPr/>
            <w:t xml:space="preserve">           </w:t>
          </w:r>
          <w:r>
            <w:rPr/>
            <w:t>San Diego-Imperial Swimming</w:t>
          </w:r>
        </w:p>
        <w:p>
          <w:pPr>
            <w:pStyle w:val="Normal"/>
            <w:jc w:val="center"/>
            <w:rPr/>
          </w:pPr>
          <w:r>
            <w:rPr/>
            <w:t>Board of Directors Meeting</w:t>
          </w:r>
        </w:p>
        <w:p>
          <w:pPr>
            <w:pStyle w:val="Normal"/>
            <w:jc w:val="center"/>
            <w:rPr/>
          </w:pPr>
          <w:r>
            <w:rPr/>
            <w:t>Originally scheduled Nov. 26</w:t>
          </w:r>
          <w:r>
            <w:rPr>
              <w:vertAlign w:val="superscript"/>
            </w:rPr>
            <w:t>th</w:t>
          </w:r>
          <w:r>
            <w:rPr/>
            <w:t xml:space="preserve"> delayed to </w:t>
          </w:r>
          <w:r>
            <w:rPr/>
            <w:t>December 3, 2023</w:t>
          </w:r>
        </w:p>
        <w:p>
          <w:pPr>
            <w:pStyle w:val="Normal"/>
            <w:rPr/>
          </w:pPr>
          <w:r>
            <w:rPr/>
          </w:r>
        </w:p>
        <w:p>
          <w:pPr>
            <w:pStyle w:val="Normal"/>
            <w:rPr/>
          </w:pPr>
          <w:r>
            <w:rPr/>
          </w:r>
        </w:p>
        <w:p>
          <w:pPr>
            <w:pStyle w:val="Contents2"/>
            <w:rPr/>
          </w:pPr>
          <w:r>
            <w:rPr/>
          </w:r>
        </w:p>
        <w:p>
          <w:pPr>
            <w:pStyle w:val="Contents2"/>
            <w:rPr>
              <w:rFonts w:ascii="Calibri" w:hAnsi="Calibri" w:eastAsia="" w:cs="Calibri" w:asciiTheme="majorHAnsi" w:cstheme="majorHAnsi" w:eastAsiaTheme="minorEastAsia" w:hAnsiTheme="majorHAnsi"/>
              <w:sz w:val="20"/>
              <w:szCs w:val="20"/>
              <w:lang w:val="en-US"/>
            </w:rPr>
          </w:pPr>
          <w:r>
            <w:fldChar w:fldCharType="begin"/>
          </w:r>
          <w:r>
            <w:rPr>
              <w:webHidden/>
              <w:rStyle w:val="IndexLink"/>
              <w:sz w:val="20"/>
              <w:szCs w:val="20"/>
              <w:bCs/>
              <w:vanish w:val="false"/>
              <w:rFonts w:cs="Calibri" w:ascii="Calibri" w:hAnsi="Calibri"/>
            </w:rPr>
            <w:instrText> TOC \z \o "1-9" \u \h</w:instrText>
          </w:r>
          <w:r>
            <w:rPr>
              <w:webHidden/>
              <w:rStyle w:val="IndexLink"/>
              <w:sz w:val="20"/>
              <w:szCs w:val="20"/>
              <w:bCs/>
              <w:vanish w:val="false"/>
              <w:rFonts w:cs="Calibri" w:ascii="Calibri" w:hAnsi="Calibri"/>
            </w:rPr>
            <w:fldChar w:fldCharType="separate"/>
          </w:r>
          <w:hyperlink w:anchor="_Toc125014722">
            <w:r>
              <w:rPr>
                <w:webHidden/>
              </w:rPr>
              <w:fldChar w:fldCharType="begin"/>
            </w:r>
            <w:r>
              <w:rPr>
                <w:webHidden/>
              </w:rPr>
              <w:instrText>PAGEREF _Toc125014722 \h</w:instrText>
            </w:r>
            <w:r>
              <w:rPr>
                <w:webHidden/>
              </w:rPr>
              <w:fldChar w:fldCharType="separate"/>
            </w:r>
            <w:r>
              <w:rPr>
                <w:webHidden/>
                <w:rStyle w:val="IndexLink"/>
                <w:rFonts w:cs="Calibri" w:ascii="Calibri" w:hAnsi="Calibri" w:asciiTheme="majorHAnsi" w:cstheme="majorHAnsi" w:hAnsiTheme="majorHAnsi"/>
                <w:bCs/>
                <w:vanish w:val="false"/>
                <w:sz w:val="20"/>
                <w:szCs w:val="20"/>
              </w:rPr>
              <w:t>General Chair Report -</w:t>
            </w:r>
            <w:r>
              <w:rPr>
                <w:webHidden/>
              </w:rPr>
              <w:fldChar w:fldCharType="end"/>
            </w:r>
          </w:hyperlink>
        </w:p>
        <w:p>
          <w:pPr>
            <w:pStyle w:val="Contents3"/>
            <w:tabs>
              <w:tab w:val="clear" w:pos="720"/>
              <w:tab w:val="right" w:pos="10070" w:leader="dot"/>
            </w:tabs>
            <w:rPr>
              <w:rFonts w:ascii="Calibri" w:hAnsi="Calibri" w:eastAsia="" w:cs="Calibri" w:asciiTheme="majorHAnsi" w:cstheme="majorHAnsi" w:eastAsiaTheme="minorEastAsia" w:hAnsiTheme="majorHAnsi"/>
              <w:sz w:val="20"/>
              <w:szCs w:val="20"/>
              <w:lang w:val="en-US"/>
            </w:rPr>
          </w:pPr>
          <w:hyperlink w:anchor="_Toc125014723">
            <w:r>
              <w:rPr>
                <w:webHidden/>
              </w:rPr>
              <w:fldChar w:fldCharType="begin"/>
            </w:r>
            <w:r>
              <w:rPr>
                <w:webHidden/>
              </w:rPr>
              <w:instrText>PAGEREF _Toc125014723 \h</w:instrText>
            </w:r>
            <w:r>
              <w:rPr>
                <w:webHidden/>
              </w:rPr>
              <w:fldChar w:fldCharType="separate"/>
            </w:r>
            <w:r>
              <w:rPr>
                <w:webHidden/>
                <w:rStyle w:val="IndexLink"/>
                <w:rFonts w:cs="Calibri" w:ascii="Calibri" w:hAnsi="Calibri" w:asciiTheme="majorHAnsi" w:cstheme="majorHAnsi" w:hAnsiTheme="majorHAnsi"/>
                <w:vanish w:val="false"/>
                <w:sz w:val="20"/>
                <w:szCs w:val="20"/>
              </w:rPr>
              <w:t>Treasurer Report – John McGlynn:</w:t>
            </w:r>
            <w:r>
              <w:rPr>
                <w:webHidden/>
              </w:rPr>
              <w:fldChar w:fldCharType="end"/>
            </w:r>
          </w:hyperlink>
        </w:p>
        <w:p>
          <w:pPr>
            <w:pStyle w:val="Contents3"/>
            <w:tabs>
              <w:tab w:val="clear" w:pos="720"/>
              <w:tab w:val="right" w:pos="10070" w:leader="dot"/>
            </w:tabs>
            <w:rPr>
              <w:rFonts w:ascii="Calibri" w:hAnsi="Calibri" w:eastAsia="" w:cs="Calibri" w:asciiTheme="majorHAnsi" w:cstheme="majorHAnsi" w:eastAsiaTheme="minorEastAsia" w:hAnsiTheme="majorHAnsi"/>
              <w:sz w:val="20"/>
              <w:szCs w:val="20"/>
              <w:lang w:val="en-US"/>
            </w:rPr>
          </w:pPr>
          <w:hyperlink w:anchor="_Toc125014724">
            <w:r>
              <w:rPr>
                <w:webHidden/>
              </w:rPr>
              <w:fldChar w:fldCharType="begin"/>
            </w:r>
            <w:r>
              <w:rPr>
                <w:webHidden/>
              </w:rPr>
              <w:instrText>PAGEREF _Toc125014724 \h</w:instrText>
            </w:r>
            <w:r>
              <w:rPr>
                <w:webHidden/>
              </w:rPr>
              <w:fldChar w:fldCharType="separate"/>
            </w:r>
            <w:r>
              <w:rPr>
                <w:webHidden/>
                <w:rStyle w:val="IndexLink"/>
                <w:rFonts w:cs="Calibri" w:ascii="Calibri" w:hAnsi="Calibri" w:asciiTheme="majorHAnsi" w:cstheme="majorHAnsi" w:hAnsiTheme="majorHAnsi"/>
                <w:vanish w:val="false"/>
                <w:sz w:val="20"/>
                <w:szCs w:val="20"/>
              </w:rPr>
              <w:t xml:space="preserve">Finance Chair – </w:t>
            </w:r>
            <w:r>
              <w:rPr>
                <w:webHidden/>
              </w:rPr>
              <w:fldChar w:fldCharType="end"/>
            </w:r>
          </w:hyperlink>
        </w:p>
        <w:p>
          <w:pPr>
            <w:pStyle w:val="Contents3"/>
            <w:tabs>
              <w:tab w:val="clear" w:pos="720"/>
              <w:tab w:val="right" w:pos="10070" w:leader="dot"/>
            </w:tabs>
            <w:rPr>
              <w:rFonts w:ascii="Calibri" w:hAnsi="Calibri" w:eastAsia="" w:cs="Calibri" w:asciiTheme="majorHAnsi" w:cstheme="majorHAnsi" w:eastAsiaTheme="minorEastAsia" w:hAnsiTheme="majorHAnsi"/>
              <w:sz w:val="20"/>
              <w:szCs w:val="20"/>
              <w:lang w:val="en-US"/>
            </w:rPr>
          </w:pPr>
          <w:hyperlink w:anchor="_Toc125014725">
            <w:r>
              <w:rPr>
                <w:webHidden/>
              </w:rPr>
              <w:fldChar w:fldCharType="begin"/>
            </w:r>
            <w:r>
              <w:rPr>
                <w:webHidden/>
              </w:rPr>
              <w:instrText>PAGEREF _Toc125014725 \h</w:instrText>
            </w:r>
            <w:r>
              <w:rPr>
                <w:webHidden/>
              </w:rPr>
              <w:fldChar w:fldCharType="separate"/>
            </w:r>
            <w:r>
              <w:rPr>
                <w:webHidden/>
                <w:rStyle w:val="IndexLink"/>
                <w:rFonts w:cs="Calibri" w:ascii="Calibri" w:hAnsi="Calibri" w:asciiTheme="majorHAnsi" w:cstheme="majorHAnsi" w:hAnsiTheme="majorHAnsi"/>
                <w:bCs/>
                <w:vanish w:val="false"/>
                <w:sz w:val="20"/>
                <w:szCs w:val="20"/>
              </w:rPr>
              <w:t>Membership Report – Mary Redmond</w:t>
            </w:r>
            <w:r>
              <w:rPr>
                <w:webHidden/>
              </w:rPr>
              <w:fldChar w:fldCharType="end"/>
            </w:r>
          </w:hyperlink>
        </w:p>
        <w:p>
          <w:pPr>
            <w:pStyle w:val="Contents3"/>
            <w:tabs>
              <w:tab w:val="clear" w:pos="720"/>
              <w:tab w:val="right" w:pos="10070" w:leader="dot"/>
            </w:tabs>
            <w:rPr>
              <w:rFonts w:ascii="Calibri" w:hAnsi="Calibri" w:eastAsia="" w:cs="Calibri" w:asciiTheme="majorHAnsi" w:cstheme="majorHAnsi" w:eastAsiaTheme="minorEastAsia" w:hAnsiTheme="majorHAnsi"/>
              <w:sz w:val="20"/>
              <w:szCs w:val="20"/>
              <w:lang w:val="en-US"/>
            </w:rPr>
          </w:pPr>
          <w:hyperlink w:anchor="_Toc125014726">
            <w:r>
              <w:rPr>
                <w:webHidden/>
              </w:rPr>
              <w:fldChar w:fldCharType="begin"/>
            </w:r>
            <w:r>
              <w:rPr>
                <w:webHidden/>
              </w:rPr>
              <w:instrText>PAGEREF _Toc125014726 \h</w:instrText>
            </w:r>
            <w:r>
              <w:rPr>
                <w:webHidden/>
              </w:rPr>
              <w:fldChar w:fldCharType="separate"/>
            </w:r>
            <w:r>
              <w:rPr>
                <w:webHidden/>
                <w:rStyle w:val="IndexLink"/>
                <w:rFonts w:cs="Calibri" w:ascii="Calibri" w:hAnsi="Calibri" w:asciiTheme="majorHAnsi" w:cstheme="majorHAnsi" w:hAnsiTheme="majorHAnsi"/>
                <w:bCs/>
                <w:vanish w:val="false"/>
                <w:sz w:val="20"/>
                <w:szCs w:val="20"/>
              </w:rPr>
              <w:t>Athlete Report – Simran Jayasinghe</w:t>
            </w:r>
            <w:r>
              <w:rPr>
                <w:webHidden/>
              </w:rPr>
              <w:fldChar w:fldCharType="end"/>
            </w:r>
          </w:hyperlink>
        </w:p>
        <w:p>
          <w:pPr>
            <w:pStyle w:val="Contents3"/>
            <w:tabs>
              <w:tab w:val="clear" w:pos="720"/>
              <w:tab w:val="right" w:pos="10070" w:leader="dot"/>
            </w:tabs>
            <w:rPr>
              <w:rFonts w:ascii="Calibri" w:hAnsi="Calibri" w:eastAsia="" w:cs="Calibri" w:asciiTheme="majorHAnsi" w:cstheme="majorHAnsi" w:eastAsiaTheme="minorEastAsia" w:hAnsiTheme="majorHAnsi"/>
              <w:sz w:val="20"/>
              <w:szCs w:val="20"/>
              <w:lang w:val="en-US"/>
            </w:rPr>
          </w:pPr>
          <w:hyperlink w:anchor="_Toc125014727">
            <w:r>
              <w:rPr>
                <w:webHidden/>
              </w:rPr>
              <w:fldChar w:fldCharType="begin"/>
            </w:r>
            <w:r>
              <w:rPr>
                <w:webHidden/>
              </w:rPr>
              <w:instrText>PAGEREF _Toc125014727 \h</w:instrText>
            </w:r>
            <w:r>
              <w:rPr>
                <w:webHidden/>
              </w:rPr>
              <w:fldChar w:fldCharType="separate"/>
            </w:r>
            <w:r>
              <w:rPr>
                <w:webHidden/>
                <w:rStyle w:val="IndexLink"/>
                <w:rFonts w:cs="Calibri" w:ascii="Calibri" w:hAnsi="Calibri" w:asciiTheme="majorHAnsi" w:cstheme="majorHAnsi" w:hAnsiTheme="majorHAnsi"/>
                <w:bCs/>
                <w:vanish w:val="false"/>
                <w:sz w:val="20"/>
                <w:szCs w:val="20"/>
              </w:rPr>
              <w:t>Diversity Committee Report – Maria Davila</w:t>
            </w:r>
            <w:r>
              <w:rPr>
                <w:webHidden/>
              </w:rPr>
              <w:fldChar w:fldCharType="end"/>
            </w:r>
          </w:hyperlink>
        </w:p>
        <w:p>
          <w:pPr>
            <w:pStyle w:val="Contents2"/>
            <w:rPr>
              <w:rFonts w:ascii="Calibri" w:hAnsi="Calibri" w:eastAsia="" w:cs="Calibri" w:asciiTheme="majorHAnsi" w:cstheme="majorHAnsi" w:eastAsiaTheme="minorEastAsia" w:hAnsiTheme="majorHAnsi"/>
              <w:sz w:val="20"/>
              <w:szCs w:val="20"/>
              <w:lang w:val="en-US"/>
            </w:rPr>
          </w:pPr>
          <w:hyperlink w:anchor="_Toc125014728">
            <w:r>
              <w:rPr>
                <w:webHidden/>
              </w:rPr>
              <w:fldChar w:fldCharType="begin"/>
            </w:r>
            <w:r>
              <w:rPr>
                <w:webHidden/>
              </w:rPr>
              <w:instrText>PAGEREF _Toc125014728 \h</w:instrText>
            </w:r>
            <w:r>
              <w:rPr>
                <w:webHidden/>
              </w:rPr>
              <w:fldChar w:fldCharType="separate"/>
            </w:r>
            <w:r>
              <w:rPr>
                <w:webHidden/>
                <w:rStyle w:val="IndexLink"/>
                <w:rFonts w:cs="Calibri" w:ascii="Calibri" w:hAnsi="Calibri" w:asciiTheme="majorHAnsi" w:cstheme="majorHAnsi" w:hAnsiTheme="majorHAnsi"/>
                <w:bCs/>
                <w:vanish w:val="false"/>
                <w:sz w:val="20"/>
                <w:szCs w:val="20"/>
              </w:rPr>
              <w:t xml:space="preserve">Administrative Vice Chair – </w:t>
            </w:r>
            <w:r>
              <w:rPr>
                <w:webHidden/>
              </w:rPr>
              <w:fldChar w:fldCharType="end"/>
            </w:r>
          </w:hyperlink>
        </w:p>
        <w:p>
          <w:pPr>
            <w:pStyle w:val="Contents2"/>
            <w:rPr>
              <w:rFonts w:ascii="Calibri" w:hAnsi="Calibri" w:eastAsia="" w:cs="Calibri" w:asciiTheme="majorHAnsi" w:cstheme="majorHAnsi" w:eastAsiaTheme="minorEastAsia" w:hAnsiTheme="majorHAnsi"/>
              <w:sz w:val="20"/>
              <w:szCs w:val="20"/>
              <w:lang w:val="en-US"/>
            </w:rPr>
          </w:pPr>
          <w:hyperlink w:anchor="_Toc125014729">
            <w:r>
              <w:rPr>
                <w:webHidden/>
              </w:rPr>
              <w:fldChar w:fldCharType="begin"/>
            </w:r>
            <w:r>
              <w:rPr>
                <w:webHidden/>
              </w:rPr>
              <w:instrText>PAGEREF _Toc125014729 \h</w:instrText>
            </w:r>
            <w:r>
              <w:rPr>
                <w:webHidden/>
              </w:rPr>
              <w:fldChar w:fldCharType="separate"/>
            </w:r>
            <w:r>
              <w:rPr>
                <w:webHidden/>
                <w:rStyle w:val="IndexLink"/>
                <w:rFonts w:cs="Calibri" w:ascii="Calibri" w:hAnsi="Calibri" w:asciiTheme="majorHAnsi" w:cstheme="majorHAnsi" w:hAnsiTheme="majorHAnsi"/>
                <w:bCs/>
                <w:vanish w:val="false"/>
                <w:sz w:val="20"/>
                <w:szCs w:val="20"/>
              </w:rPr>
              <w:t xml:space="preserve">Safe Sport Report – </w:t>
            </w:r>
            <w:r>
              <w:rPr>
                <w:webHidden/>
              </w:rPr>
              <w:fldChar w:fldCharType="end"/>
            </w:r>
          </w:hyperlink>
        </w:p>
        <w:p>
          <w:pPr>
            <w:pStyle w:val="Contents3"/>
            <w:tabs>
              <w:tab w:val="clear" w:pos="720"/>
              <w:tab w:val="right" w:pos="10070" w:leader="dot"/>
            </w:tabs>
            <w:rPr>
              <w:rFonts w:ascii="Calibri" w:hAnsi="Calibri" w:eastAsia="" w:cs="Calibri" w:asciiTheme="majorHAnsi" w:cstheme="majorHAnsi" w:eastAsiaTheme="minorEastAsia" w:hAnsiTheme="majorHAnsi"/>
              <w:sz w:val="20"/>
              <w:szCs w:val="20"/>
              <w:lang w:val="en-US"/>
            </w:rPr>
          </w:pPr>
          <w:hyperlink w:anchor="_Toc125014730">
            <w:r>
              <w:rPr>
                <w:webHidden/>
              </w:rPr>
              <w:fldChar w:fldCharType="begin"/>
            </w:r>
            <w:r>
              <w:rPr>
                <w:webHidden/>
              </w:rPr>
              <w:instrText>PAGEREF _Toc125014730 \h</w:instrText>
            </w:r>
            <w:r>
              <w:rPr>
                <w:webHidden/>
              </w:rPr>
              <w:fldChar w:fldCharType="separate"/>
            </w:r>
            <w:r>
              <w:rPr>
                <w:webHidden/>
                <w:rStyle w:val="IndexLink"/>
                <w:rFonts w:cs="Calibri" w:ascii="Calibri" w:hAnsi="Calibri" w:asciiTheme="majorHAnsi" w:cstheme="majorHAnsi" w:hAnsiTheme="majorHAnsi"/>
                <w:vanish w:val="false"/>
                <w:sz w:val="20"/>
                <w:szCs w:val="20"/>
              </w:rPr>
              <w:t>Officials Committee Report – Bob Horne</w:t>
            </w:r>
            <w:r>
              <w:rPr>
                <w:webHidden/>
              </w:rPr>
              <w:fldChar w:fldCharType="end"/>
            </w:r>
          </w:hyperlink>
        </w:p>
        <w:p>
          <w:pPr>
            <w:pStyle w:val="Contents3"/>
            <w:tabs>
              <w:tab w:val="clear" w:pos="720"/>
              <w:tab w:val="right" w:pos="10070" w:leader="dot"/>
            </w:tabs>
            <w:rPr>
              <w:rFonts w:ascii="Calibri" w:hAnsi="Calibri" w:eastAsia="" w:cs="Calibri" w:asciiTheme="majorHAnsi" w:cstheme="majorHAnsi" w:eastAsiaTheme="minorEastAsia" w:hAnsiTheme="majorHAnsi"/>
              <w:sz w:val="20"/>
              <w:szCs w:val="20"/>
              <w:lang w:val="en-US"/>
            </w:rPr>
          </w:pPr>
          <w:hyperlink w:anchor="_Toc125014731">
            <w:r>
              <w:rPr>
                <w:webHidden/>
              </w:rPr>
              <w:fldChar w:fldCharType="begin"/>
            </w:r>
            <w:r>
              <w:rPr>
                <w:webHidden/>
              </w:rPr>
              <w:instrText>PAGEREF _Toc125014731 \h</w:instrText>
            </w:r>
            <w:r>
              <w:rPr>
                <w:webHidden/>
              </w:rPr>
              <w:fldChar w:fldCharType="separate"/>
            </w:r>
            <w:r>
              <w:rPr>
                <w:webHidden/>
                <w:rStyle w:val="IndexLink"/>
                <w:rFonts w:cs="Calibri" w:ascii="Calibri" w:hAnsi="Calibri" w:asciiTheme="majorHAnsi" w:cstheme="majorHAnsi" w:hAnsiTheme="majorHAnsi"/>
                <w:vanish w:val="false"/>
                <w:sz w:val="20"/>
                <w:szCs w:val="20"/>
              </w:rPr>
              <w:t xml:space="preserve">Equipment Report – </w:t>
            </w:r>
            <w:r>
              <w:rPr>
                <w:webHidden/>
              </w:rPr>
              <w:fldChar w:fldCharType="end"/>
            </w:r>
          </w:hyperlink>
        </w:p>
        <w:p>
          <w:pPr>
            <w:pStyle w:val="Contents3"/>
            <w:tabs>
              <w:tab w:val="clear" w:pos="720"/>
              <w:tab w:val="right" w:pos="10070" w:leader="dot"/>
            </w:tabs>
            <w:rPr>
              <w:rFonts w:ascii="Calibri" w:hAnsi="Calibri" w:eastAsia="" w:cs="Calibri" w:asciiTheme="majorHAnsi" w:cstheme="majorHAnsi" w:eastAsiaTheme="minorEastAsia" w:hAnsiTheme="majorHAnsi"/>
              <w:sz w:val="20"/>
              <w:szCs w:val="20"/>
              <w:lang w:val="en-US"/>
            </w:rPr>
          </w:pPr>
          <w:hyperlink w:anchor="_Toc125014732">
            <w:r>
              <w:rPr>
                <w:webHidden/>
              </w:rPr>
              <w:fldChar w:fldCharType="begin"/>
            </w:r>
            <w:r>
              <w:rPr>
                <w:webHidden/>
              </w:rPr>
              <w:instrText>PAGEREF _Toc125014732 \h</w:instrText>
            </w:r>
            <w:r>
              <w:rPr>
                <w:webHidden/>
              </w:rPr>
              <w:fldChar w:fldCharType="separate"/>
            </w:r>
            <w:r>
              <w:rPr>
                <w:webHidden/>
                <w:rStyle w:val="IndexLink"/>
                <w:rFonts w:cs="Calibri" w:ascii="Calibri" w:hAnsi="Calibri" w:asciiTheme="majorHAnsi" w:cstheme="majorHAnsi" w:hAnsiTheme="majorHAnsi"/>
                <w:vanish w:val="false"/>
                <w:sz w:val="20"/>
                <w:szCs w:val="20"/>
              </w:rPr>
              <w:t>Operational Risk Report – Carlos Davila</w:t>
            </w:r>
            <w:r>
              <w:rPr>
                <w:webHidden/>
              </w:rPr>
              <w:fldChar w:fldCharType="end"/>
            </w:r>
          </w:hyperlink>
        </w:p>
        <w:p>
          <w:pPr>
            <w:pStyle w:val="Contents2"/>
            <w:rPr>
              <w:rFonts w:ascii="Calibri" w:hAnsi="Calibri" w:eastAsia="" w:cs="Calibri" w:asciiTheme="majorHAnsi" w:cstheme="majorHAnsi" w:eastAsiaTheme="minorEastAsia" w:hAnsiTheme="majorHAnsi"/>
              <w:sz w:val="20"/>
              <w:szCs w:val="20"/>
              <w:lang w:val="en-US"/>
            </w:rPr>
          </w:pPr>
          <w:hyperlink w:anchor="_Toc125014733">
            <w:r>
              <w:rPr>
                <w:webHidden/>
              </w:rPr>
              <w:fldChar w:fldCharType="begin"/>
            </w:r>
            <w:r>
              <w:rPr>
                <w:webHidden/>
              </w:rPr>
              <w:instrText>PAGEREF _Toc125014733 \h</w:instrText>
            </w:r>
            <w:r>
              <w:rPr>
                <w:webHidden/>
              </w:rPr>
              <w:fldChar w:fldCharType="separate"/>
            </w:r>
            <w:r>
              <w:rPr>
                <w:webHidden/>
                <w:rStyle w:val="IndexLink"/>
                <w:rFonts w:cs="Calibri" w:ascii="Calibri" w:hAnsi="Calibri" w:asciiTheme="majorHAnsi" w:cstheme="majorHAnsi" w:hAnsiTheme="majorHAnsi"/>
                <w:bCs/>
                <w:vanish w:val="false"/>
                <w:sz w:val="20"/>
                <w:szCs w:val="20"/>
              </w:rPr>
              <w:t>Technical Planning Vice Chair – Paul Mazzarelle</w:t>
            </w:r>
            <w:r>
              <w:rPr>
                <w:webHidden/>
              </w:rPr>
              <w:fldChar w:fldCharType="end"/>
            </w:r>
          </w:hyperlink>
        </w:p>
        <w:p>
          <w:pPr>
            <w:pStyle w:val="Contents2"/>
            <w:rPr>
              <w:rFonts w:ascii="Calibri" w:hAnsi="Calibri" w:eastAsia="" w:cs="Calibri" w:asciiTheme="majorHAnsi" w:cstheme="majorHAnsi" w:eastAsiaTheme="minorEastAsia" w:hAnsiTheme="majorHAnsi"/>
              <w:sz w:val="20"/>
              <w:szCs w:val="20"/>
              <w:lang w:val="en-US"/>
            </w:rPr>
          </w:pPr>
          <w:hyperlink w:anchor="_Toc125014734">
            <w:r>
              <w:rPr>
                <w:webHidden/>
              </w:rPr>
              <w:fldChar w:fldCharType="begin"/>
            </w:r>
            <w:r>
              <w:rPr>
                <w:webHidden/>
              </w:rPr>
              <w:instrText>PAGEREF _Toc125014734 \h</w:instrText>
            </w:r>
            <w:r>
              <w:rPr>
                <w:webHidden/>
              </w:rPr>
              <w:fldChar w:fldCharType="separate"/>
            </w:r>
            <w:r>
              <w:rPr>
                <w:webHidden/>
                <w:rStyle w:val="IndexLink"/>
                <w:rFonts w:cs="Calibri" w:ascii="Calibri" w:hAnsi="Calibri" w:asciiTheme="majorHAnsi" w:cstheme="majorHAnsi" w:hAnsiTheme="majorHAnsi"/>
                <w:bCs/>
                <w:vanish w:val="false"/>
                <w:sz w:val="20"/>
                <w:szCs w:val="20"/>
              </w:rPr>
              <w:t xml:space="preserve">Senior Chair – </w:t>
            </w:r>
            <w:r>
              <w:rPr>
                <w:webHidden/>
              </w:rPr>
              <w:fldChar w:fldCharType="end"/>
            </w:r>
          </w:hyperlink>
        </w:p>
        <w:p>
          <w:pPr>
            <w:pStyle w:val="Contents2"/>
            <w:rPr>
              <w:rFonts w:ascii="Calibri" w:hAnsi="Calibri" w:eastAsia="" w:cs="Calibri" w:asciiTheme="majorHAnsi" w:cstheme="majorHAnsi" w:eastAsiaTheme="minorEastAsia" w:hAnsiTheme="majorHAnsi"/>
              <w:sz w:val="20"/>
              <w:szCs w:val="20"/>
              <w:lang w:val="en-US"/>
            </w:rPr>
          </w:pPr>
          <w:hyperlink w:anchor="_Toc125014735">
            <w:r>
              <w:rPr>
                <w:webHidden/>
              </w:rPr>
              <w:fldChar w:fldCharType="begin"/>
            </w:r>
            <w:r>
              <w:rPr>
                <w:webHidden/>
              </w:rPr>
              <w:instrText>PAGEREF _Toc125014735 \h</w:instrText>
            </w:r>
            <w:r>
              <w:rPr>
                <w:webHidden/>
              </w:rPr>
              <w:fldChar w:fldCharType="separate"/>
            </w:r>
            <w:r>
              <w:rPr>
                <w:webHidden/>
                <w:rStyle w:val="IndexLink"/>
                <w:rFonts w:cs="Calibri" w:ascii="Calibri" w:hAnsi="Calibri" w:asciiTheme="majorHAnsi" w:cstheme="majorHAnsi" w:hAnsiTheme="majorHAnsi"/>
                <w:bCs/>
                <w:vanish w:val="false"/>
                <w:sz w:val="20"/>
                <w:szCs w:val="20"/>
              </w:rPr>
              <w:t>Age Group Vice Chair – Sean Redmond</w:t>
            </w:r>
            <w:r>
              <w:rPr>
                <w:webHidden/>
              </w:rPr>
              <w:fldChar w:fldCharType="end"/>
            </w:r>
          </w:hyperlink>
        </w:p>
        <w:p>
          <w:pPr>
            <w:pStyle w:val="Contents2"/>
            <w:rPr>
              <w:rFonts w:ascii="Calibri" w:hAnsi="Calibri" w:eastAsia="" w:cs="Calibri" w:asciiTheme="majorHAnsi" w:cstheme="majorHAnsi" w:eastAsiaTheme="minorEastAsia" w:hAnsiTheme="majorHAnsi"/>
              <w:sz w:val="20"/>
              <w:szCs w:val="20"/>
              <w:lang w:val="en-US"/>
            </w:rPr>
          </w:pPr>
          <w:hyperlink w:anchor="_Toc125014736">
            <w:r>
              <w:rPr>
                <w:webHidden/>
              </w:rPr>
              <w:fldChar w:fldCharType="begin"/>
            </w:r>
            <w:r>
              <w:rPr>
                <w:webHidden/>
              </w:rPr>
              <w:instrText>PAGEREF _Toc125014736 \h</w:instrText>
            </w:r>
            <w:r>
              <w:rPr>
                <w:webHidden/>
              </w:rPr>
              <w:fldChar w:fldCharType="separate"/>
            </w:r>
            <w:r>
              <w:rPr>
                <w:webHidden/>
                <w:rStyle w:val="IndexLink"/>
                <w:rFonts w:cs="Calibri" w:ascii="Calibri" w:hAnsi="Calibri" w:asciiTheme="majorHAnsi" w:cstheme="majorHAnsi" w:hAnsiTheme="majorHAnsi"/>
                <w:vanish w:val="false"/>
                <w:sz w:val="20"/>
                <w:szCs w:val="20"/>
              </w:rPr>
              <w:t xml:space="preserve">Coach Representative - </w:t>
            </w:r>
            <w:r>
              <w:rPr>
                <w:webHidden/>
              </w:rPr>
              <w:fldChar w:fldCharType="end"/>
            </w:r>
          </w:hyperlink>
        </w:p>
        <w:p>
          <w:pPr>
            <w:pStyle w:val="Contents2"/>
            <w:rPr>
              <w:rFonts w:ascii="Calibri" w:hAnsi="Calibri" w:eastAsia="" w:cs="Calibri" w:asciiTheme="majorHAnsi" w:cstheme="majorHAnsi" w:eastAsiaTheme="minorEastAsia" w:hAnsiTheme="majorHAnsi"/>
              <w:sz w:val="20"/>
              <w:szCs w:val="20"/>
              <w:lang w:val="en-US"/>
            </w:rPr>
          </w:pPr>
          <w:hyperlink w:anchor="_Toc125014737">
            <w:r>
              <w:rPr>
                <w:webHidden/>
              </w:rPr>
              <w:fldChar w:fldCharType="begin"/>
            </w:r>
            <w:r>
              <w:rPr>
                <w:webHidden/>
              </w:rPr>
              <w:instrText>PAGEREF _Toc125014737 \h</w:instrText>
            </w:r>
            <w:r>
              <w:rPr>
                <w:webHidden/>
              </w:rPr>
              <w:fldChar w:fldCharType="separate"/>
            </w:r>
            <w:r>
              <w:rPr>
                <w:webHidden/>
                <w:rStyle w:val="IndexLink"/>
                <w:rFonts w:cs="Calibri" w:ascii="Calibri" w:hAnsi="Calibri" w:asciiTheme="majorHAnsi" w:cstheme="majorHAnsi" w:hAnsiTheme="majorHAnsi"/>
                <w:vanish w:val="false"/>
                <w:sz w:val="20"/>
                <w:szCs w:val="20"/>
              </w:rPr>
              <w:t xml:space="preserve">AT Large Member – </w:t>
            </w:r>
            <w:r>
              <w:rPr>
                <w:webHidden/>
              </w:rPr>
              <w:fldChar w:fldCharType="end"/>
            </w:r>
          </w:hyperlink>
          <w:r>
            <w:rPr>
              <w:rStyle w:val="IndexLink"/>
              <w:sz w:val="20"/>
              <w:szCs w:val="20"/>
              <w:vanish w:val="false"/>
              <w:rFonts w:cs="Calibri" w:ascii="Calibri" w:hAnsi="Calibri"/>
            </w:rPr>
            <w:fldChar w:fldCharType="end"/>
          </w:r>
        </w:p>
      </w:sdtContent>
    </w:sdt>
    <w:p>
      <w:pPr>
        <w:pStyle w:val="Normal"/>
        <w:spacing w:lineRule="auto" w:line="240" w:before="200" w:after="80"/>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spacing w:lineRule="auto" w:line="240" w:before="200" w:after="8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Consent Agenda</w:t>
      </w:r>
    </w:p>
    <w:p>
      <w:pPr>
        <w:pStyle w:val="Heading2"/>
        <w:widowControl w:val="false"/>
        <w:spacing w:before="360" w:after="100"/>
        <w:rPr>
          <w:rFonts w:ascii="Calibri" w:hAnsi="Calibri" w:cs="Calibri" w:asciiTheme="majorHAnsi" w:cstheme="majorHAnsi" w:hAnsiTheme="majorHAnsi"/>
          <w:bCs/>
          <w:sz w:val="20"/>
          <w:szCs w:val="20"/>
        </w:rPr>
      </w:pPr>
      <w:bookmarkStart w:id="0" w:name="_Toc125014722"/>
      <w:bookmarkStart w:id="1" w:name="_q1lys2vfjqi9"/>
      <w:bookmarkEnd w:id="1"/>
      <w:r>
        <w:rPr>
          <w:rFonts w:cs="Calibri" w:ascii="Calibri" w:hAnsi="Calibri" w:asciiTheme="majorHAnsi" w:cstheme="majorHAnsi" w:hAnsiTheme="majorHAnsi"/>
          <w:bCs/>
          <w:sz w:val="20"/>
          <w:szCs w:val="20"/>
        </w:rPr>
        <w:t>General Chair Report - Sally Taggart</w:t>
      </w:r>
      <w:bookmarkEnd w:id="0"/>
    </w:p>
    <w:p>
      <w:pPr>
        <w:pStyle w:val="ListParagraph"/>
        <w:spacing w:lineRule="exact" w:line="240"/>
        <w:ind w:left="0" w:hanging="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Thank you for all the support given the last four years.   I have learned a lot from all of you during this incredibly challenging time of COVID followed by figuring out a new normal with all that is now asked of LSC leadership by USA Swimming.    </w:t>
      </w:r>
    </w:p>
    <w:p>
      <w:pPr>
        <w:pStyle w:val="Heading3"/>
        <w:rPr>
          <w:rFonts w:ascii="Calibri" w:hAnsi="Calibri" w:cs="Calibri" w:asciiTheme="majorHAnsi" w:cstheme="majorHAnsi" w:hAnsiTheme="majorHAnsi"/>
          <w:color w:val="auto"/>
          <w:sz w:val="20"/>
          <w:szCs w:val="20"/>
        </w:rPr>
      </w:pPr>
      <w:bookmarkStart w:id="2" w:name="_Toc125014723"/>
      <w:r>
        <w:rPr>
          <w:rFonts w:cs="Calibri" w:ascii="Calibri" w:hAnsi="Calibri" w:asciiTheme="majorHAnsi" w:cstheme="majorHAnsi" w:hAnsiTheme="majorHAnsi"/>
          <w:color w:val="auto"/>
          <w:sz w:val="20"/>
          <w:szCs w:val="20"/>
        </w:rPr>
        <w:t>Treasurer Report – John McGlynn:</w:t>
      </w:r>
      <w:bookmarkEnd w:id="2"/>
      <w:r>
        <w:rPr>
          <w:rFonts w:cs="Calibri" w:ascii="Calibri" w:hAnsi="Calibri" w:asciiTheme="majorHAnsi" w:cstheme="majorHAnsi" w:hAnsiTheme="majorHAnsi"/>
          <w:color w:val="auto"/>
          <w:sz w:val="20"/>
          <w:szCs w:val="20"/>
        </w:rPr>
        <w:t xml:space="preserve"> </w:t>
      </w:r>
    </w:p>
    <w:p>
      <w:pPr>
        <w:pStyle w:val="Normal"/>
        <w:ind w:left="360" w:hanging="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1. Chase:</w:t>
      </w:r>
    </w:p>
    <w:p>
      <w:pPr>
        <w:pStyle w:val="Normal"/>
        <w:ind w:left="360" w:hanging="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w:t>
      </w:r>
      <w:r>
        <w:rPr>
          <w:rFonts w:cs="Calibri" w:ascii="Calibri" w:hAnsi="Calibri" w:asciiTheme="majorHAnsi" w:cstheme="majorHAnsi" w:hAnsiTheme="majorHAnsi"/>
          <w:sz w:val="20"/>
          <w:szCs w:val="20"/>
        </w:rPr>
        <w:t>Checking:  $120,410.46 as of 11/17/2023</w:t>
      </w:r>
    </w:p>
    <w:p>
      <w:pPr>
        <w:pStyle w:val="Normal"/>
        <w:ind w:left="360" w:hanging="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w:t>
      </w:r>
      <w:r>
        <w:rPr>
          <w:rFonts w:cs="Calibri" w:ascii="Calibri" w:hAnsi="Calibri" w:asciiTheme="majorHAnsi" w:cstheme="majorHAnsi" w:hAnsiTheme="majorHAnsi"/>
          <w:sz w:val="20"/>
          <w:szCs w:val="20"/>
        </w:rPr>
        <w:t>Savings:  $75,041.40 as of 11/17/2023</w:t>
      </w:r>
    </w:p>
    <w:p>
      <w:pPr>
        <w:pStyle w:val="Normal"/>
        <w:ind w:left="360" w:hanging="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2. Schwab:   $503,381.61 as of 9/19/2023</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All other items are covered within HOD.   </w:t>
      </w:r>
    </w:p>
    <w:p>
      <w:pPr>
        <w:pStyle w:val="Heading3"/>
        <w:rPr>
          <w:rFonts w:ascii="Calibri" w:hAnsi="Calibri" w:cs="Calibri" w:asciiTheme="majorHAnsi" w:cstheme="majorHAnsi" w:hAnsiTheme="majorHAnsi"/>
          <w:color w:val="auto"/>
          <w:sz w:val="20"/>
          <w:szCs w:val="20"/>
        </w:rPr>
      </w:pPr>
      <w:bookmarkStart w:id="3" w:name="_Toc125014724"/>
      <w:r>
        <w:rPr>
          <w:rFonts w:cs="Calibri" w:ascii="Calibri" w:hAnsi="Calibri" w:asciiTheme="majorHAnsi" w:cstheme="majorHAnsi" w:hAnsiTheme="majorHAnsi"/>
          <w:color w:val="auto"/>
          <w:sz w:val="20"/>
          <w:szCs w:val="20"/>
        </w:rPr>
        <w:t>Finance Chair – Bill Eisenhamer:</w:t>
      </w:r>
      <w:bookmarkEnd w:id="3"/>
      <w:r>
        <w:rPr>
          <w:rFonts w:cs="Calibri" w:ascii="Calibri" w:hAnsi="Calibri" w:asciiTheme="majorHAnsi" w:cstheme="majorHAnsi" w:hAnsiTheme="majorHAnsi"/>
          <w:color w:val="auto"/>
          <w:sz w:val="20"/>
          <w:szCs w:val="20"/>
        </w:rPr>
        <w:t xml:space="preserve"> </w:t>
      </w:r>
    </w:p>
    <w:p>
      <w:pPr>
        <w:pStyle w:val="ListParagraph"/>
        <w:numPr>
          <w:ilvl w:val="0"/>
          <w:numId w:val="3"/>
        </w:numPr>
        <w:rPr>
          <w:rFonts w:ascii="Calibri" w:hAnsi="Calibri" w:cs="Calibri" w:asciiTheme="majorHAnsi" w:cstheme="majorHAnsi" w:hAnsiTheme="majorHAnsi"/>
          <w:sz w:val="20"/>
          <w:szCs w:val="20"/>
        </w:rPr>
      </w:pPr>
      <w:bookmarkStart w:id="4" w:name="_Hlk143093679"/>
      <w:bookmarkEnd w:id="4"/>
      <w:r>
        <w:rPr>
          <w:rFonts w:cs="Calibri" w:ascii="Calibri" w:hAnsi="Calibri" w:asciiTheme="majorHAnsi" w:cstheme="majorHAnsi" w:hAnsiTheme="majorHAnsi"/>
          <w:sz w:val="20"/>
          <w:szCs w:val="20"/>
        </w:rPr>
        <w:t xml:space="preserve">Completed AUP for 21-22 swim year and have provided to USA Swimming </w:t>
      </w:r>
    </w:p>
    <w:p>
      <w:pPr>
        <w:pStyle w:val="ListParagraph"/>
        <w:numPr>
          <w:ilvl w:val="0"/>
          <w:numId w:val="3"/>
        </w:numPr>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Signed letter with Alison Turner and Associates to ensure our non profit status is returned to good standing with all required entities.   </w:t>
      </w:r>
    </w:p>
    <w:p>
      <w:pPr>
        <w:pStyle w:val="ListParagraph"/>
        <w:numPr>
          <w:ilvl w:val="0"/>
          <w:numId w:val="3"/>
        </w:numPr>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Draft financial procedures are complete and will be provided to the next board for action.  </w:t>
      </w:r>
    </w:p>
    <w:p>
      <w:pPr>
        <w:pStyle w:val="ListParagraph"/>
        <w:numPr>
          <w:ilvl w:val="0"/>
          <w:numId w:val="3"/>
        </w:numPr>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Work is ongoing to get everything in place with our new bookkeeper</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Don Watkins:  $52,859.85 (as of 9/2023 with last contribution was 11/2019)</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Ian Carsten:  $49,876.71 (as of 9/2023 with last contribution:  11/2023)</w:t>
      </w:r>
    </w:p>
    <w:p>
      <w:pPr>
        <w:pStyle w:val="ListParagraph"/>
        <w:numPr>
          <w:ilvl w:val="0"/>
          <w:numId w:val="1"/>
        </w:numPr>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Reminder, people can contribute to this fund, and the Dan Watkins fund, to support our abilities to continue programs.  Note:   Donation links are set up on SI website for people to use.     </w:t>
      </w:r>
    </w:p>
    <w:p>
      <w:pPr>
        <w:pStyle w:val="Heading3"/>
        <w:rPr>
          <w:rFonts w:ascii="Calibri" w:hAnsi="Calibri" w:cs="Calibri" w:asciiTheme="majorHAnsi" w:cstheme="majorHAnsi" w:hAnsiTheme="majorHAnsi"/>
          <w:bCs/>
          <w:color w:val="auto"/>
          <w:sz w:val="20"/>
          <w:szCs w:val="20"/>
        </w:rPr>
      </w:pPr>
      <w:bookmarkStart w:id="5" w:name="_Toc125014725"/>
      <w:bookmarkStart w:id="6" w:name="_Hlk1430936791"/>
      <w:bookmarkEnd w:id="6"/>
      <w:r>
        <w:rPr>
          <w:rFonts w:cs="Calibri" w:ascii="Calibri" w:hAnsi="Calibri" w:asciiTheme="majorHAnsi" w:cstheme="majorHAnsi" w:hAnsiTheme="majorHAnsi"/>
          <w:bCs/>
          <w:color w:val="auto"/>
          <w:sz w:val="20"/>
          <w:szCs w:val="20"/>
        </w:rPr>
        <w:t>Membership Report – Mary Redmond</w:t>
      </w:r>
      <w:bookmarkEnd w:id="5"/>
    </w:p>
    <w:tbl>
      <w:tblPr>
        <w:tblW w:w="9483"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2176"/>
        <w:gridCol w:w="1415"/>
        <w:gridCol w:w="1415"/>
        <w:gridCol w:w="1413"/>
        <w:gridCol w:w="1428"/>
        <w:gridCol w:w="1635"/>
      </w:tblGrid>
      <w:tr>
        <w:trPr>
          <w:trHeight w:val="864" w:hRule="atLeast"/>
        </w:trPr>
        <w:tc>
          <w:tcPr>
            <w:tcW w:w="217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Registration Type</w:t>
            </w:r>
          </w:p>
        </w:tc>
        <w:tc>
          <w:tcPr>
            <w:tcW w:w="141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2021 Registrations</w:t>
            </w:r>
          </w:p>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060120 thru 083121</w:t>
            </w:r>
          </w:p>
        </w:tc>
        <w:tc>
          <w:tcPr>
            <w:tcW w:w="1415" w:type="dxa"/>
            <w:tcBorders>
              <w:top w:val="single" w:sz="4" w:space="0" w:color="000000"/>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2022 Registrations 090121 thru 083122</w:t>
            </w:r>
          </w:p>
        </w:tc>
        <w:tc>
          <w:tcPr>
            <w:tcW w:w="1413" w:type="dxa"/>
            <w:tcBorders>
              <w:top w:val="single" w:sz="4" w:space="0" w:color="000000"/>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2023</w:t>
            </w:r>
          </w:p>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Registrations</w:t>
            </w:r>
          </w:p>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090122 thru</w:t>
            </w:r>
          </w:p>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083123</w:t>
            </w:r>
          </w:p>
        </w:tc>
        <w:tc>
          <w:tcPr>
            <w:tcW w:w="1428" w:type="dxa"/>
            <w:tcBorders>
              <w:top w:val="single" w:sz="4" w:space="0" w:color="000000"/>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2024</w:t>
            </w:r>
          </w:p>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Registrations</w:t>
            </w:r>
          </w:p>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090123 thru</w:t>
            </w:r>
          </w:p>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083124</w:t>
            </w:r>
          </w:p>
        </w:tc>
        <w:tc>
          <w:tcPr>
            <w:tcW w:w="163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 </w:t>
            </w:r>
          </w:p>
        </w:tc>
      </w:tr>
      <w:tr>
        <w:trPr>
          <w:trHeight w:val="576" w:hRule="atLeast"/>
        </w:trPr>
        <w:tc>
          <w:tcPr>
            <w:tcW w:w="217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 </w:t>
            </w:r>
          </w:p>
        </w:tc>
        <w:tc>
          <w:tcPr>
            <w:tcW w:w="1415"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cstheme="majorHAnsi" w:ascii="Calibri" w:hAnsi="Calibri"/>
                <w:color w:val="000000"/>
                <w:sz w:val="20"/>
                <w:szCs w:val="20"/>
              </w:rPr>
            </w:r>
          </w:p>
        </w:tc>
        <w:tc>
          <w:tcPr>
            <w:tcW w:w="1415" w:type="dxa"/>
            <w:tcBorders>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cstheme="majorHAnsi" w:ascii="Calibri" w:hAnsi="Calibri"/>
                <w:color w:val="000000"/>
                <w:sz w:val="20"/>
                <w:szCs w:val="20"/>
              </w:rPr>
            </w:r>
          </w:p>
        </w:tc>
        <w:tc>
          <w:tcPr>
            <w:tcW w:w="1413" w:type="dxa"/>
            <w:tcBorders>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cstheme="majorHAnsi" w:ascii="Calibri" w:hAnsi="Calibri"/>
                <w:color w:val="000000"/>
                <w:sz w:val="20"/>
                <w:szCs w:val="20"/>
              </w:rPr>
            </w:r>
          </w:p>
        </w:tc>
        <w:tc>
          <w:tcPr>
            <w:tcW w:w="1428" w:type="dxa"/>
            <w:tcBorders>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cstheme="majorHAnsi" w:ascii="Calibri" w:hAnsi="Calibri"/>
                <w:color w:val="000000"/>
                <w:sz w:val="20"/>
                <w:szCs w:val="20"/>
              </w:rPr>
            </w:r>
          </w:p>
        </w:tc>
        <w:tc>
          <w:tcPr>
            <w:tcW w:w="1635"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Member Type</w:t>
            </w:r>
          </w:p>
        </w:tc>
      </w:tr>
      <w:tr>
        <w:trPr>
          <w:trHeight w:val="288" w:hRule="atLeast"/>
        </w:trPr>
        <w:tc>
          <w:tcPr>
            <w:tcW w:w="217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Athlete Premier (YR)</w:t>
            </w:r>
          </w:p>
        </w:tc>
        <w:tc>
          <w:tcPr>
            <w:tcW w:w="1415"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2693</w:t>
            </w:r>
          </w:p>
        </w:tc>
        <w:tc>
          <w:tcPr>
            <w:tcW w:w="1415"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3271</w:t>
            </w:r>
          </w:p>
        </w:tc>
        <w:tc>
          <w:tcPr>
            <w:tcW w:w="1413"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2966</w:t>
            </w:r>
          </w:p>
        </w:tc>
        <w:tc>
          <w:tcPr>
            <w:tcW w:w="1428" w:type="dxa"/>
            <w:tcBorders>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1198</w:t>
            </w:r>
          </w:p>
        </w:tc>
        <w:tc>
          <w:tcPr>
            <w:tcW w:w="1635"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Athlete</w:t>
            </w:r>
          </w:p>
        </w:tc>
      </w:tr>
      <w:tr>
        <w:trPr>
          <w:trHeight w:val="288" w:hRule="atLeast"/>
        </w:trPr>
        <w:tc>
          <w:tcPr>
            <w:tcW w:w="217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Athlete Seasonal 1</w:t>
            </w:r>
          </w:p>
        </w:tc>
        <w:tc>
          <w:tcPr>
            <w:tcW w:w="1415"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21</w:t>
            </w:r>
          </w:p>
        </w:tc>
        <w:tc>
          <w:tcPr>
            <w:tcW w:w="1415"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117</w:t>
            </w:r>
          </w:p>
        </w:tc>
        <w:tc>
          <w:tcPr>
            <w:tcW w:w="1413"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109</w:t>
            </w:r>
          </w:p>
        </w:tc>
        <w:tc>
          <w:tcPr>
            <w:tcW w:w="1428" w:type="dxa"/>
            <w:tcBorders>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NA</w:t>
            </w:r>
          </w:p>
        </w:tc>
        <w:tc>
          <w:tcPr>
            <w:tcW w:w="1635"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Athlete</w:t>
            </w:r>
          </w:p>
        </w:tc>
      </w:tr>
      <w:tr>
        <w:trPr>
          <w:trHeight w:val="288" w:hRule="atLeast"/>
        </w:trPr>
        <w:tc>
          <w:tcPr>
            <w:tcW w:w="217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Athlete Flex</w:t>
            </w:r>
          </w:p>
        </w:tc>
        <w:tc>
          <w:tcPr>
            <w:tcW w:w="1415"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1453</w:t>
            </w:r>
          </w:p>
        </w:tc>
        <w:tc>
          <w:tcPr>
            <w:tcW w:w="1415"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1133</w:t>
            </w:r>
          </w:p>
        </w:tc>
        <w:tc>
          <w:tcPr>
            <w:tcW w:w="1413"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672</w:t>
            </w:r>
          </w:p>
        </w:tc>
        <w:tc>
          <w:tcPr>
            <w:tcW w:w="1428" w:type="dxa"/>
            <w:tcBorders>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272</w:t>
            </w:r>
          </w:p>
        </w:tc>
        <w:tc>
          <w:tcPr>
            <w:tcW w:w="1635"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Athlete</w:t>
            </w:r>
          </w:p>
        </w:tc>
      </w:tr>
      <w:tr>
        <w:trPr>
          <w:trHeight w:val="288" w:hRule="atLeast"/>
        </w:trPr>
        <w:tc>
          <w:tcPr>
            <w:tcW w:w="217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Athlete Outreach</w:t>
            </w:r>
          </w:p>
        </w:tc>
        <w:tc>
          <w:tcPr>
            <w:tcW w:w="1415"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61</w:t>
            </w:r>
          </w:p>
        </w:tc>
        <w:tc>
          <w:tcPr>
            <w:tcW w:w="1415"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60</w:t>
            </w:r>
          </w:p>
        </w:tc>
        <w:tc>
          <w:tcPr>
            <w:tcW w:w="1413"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46</w:t>
            </w:r>
          </w:p>
        </w:tc>
        <w:tc>
          <w:tcPr>
            <w:tcW w:w="1428" w:type="dxa"/>
            <w:tcBorders>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13</w:t>
            </w:r>
          </w:p>
        </w:tc>
        <w:tc>
          <w:tcPr>
            <w:tcW w:w="1635"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Athlete</w:t>
            </w:r>
          </w:p>
        </w:tc>
      </w:tr>
      <w:tr>
        <w:trPr>
          <w:trHeight w:val="288" w:hRule="atLeast"/>
        </w:trPr>
        <w:tc>
          <w:tcPr>
            <w:tcW w:w="2176" w:type="dxa"/>
            <w:tcBorders>
              <w:top w:val="single" w:sz="4" w:space="0" w:color="000000"/>
              <w:left w:val="single" w:sz="4" w:space="0" w:color="000000"/>
              <w:bottom w:val="single" w:sz="4" w:space="0" w:color="000000"/>
              <w:right w:val="single" w:sz="4" w:space="0" w:color="000000"/>
            </w:tcBorders>
            <w:shd w:color="auto" w:fill="FFFF00"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highlight w:val="yellow"/>
              </w:rPr>
            </w:pPr>
            <w:r>
              <w:rPr>
                <w:rFonts w:eastAsia="Times New Roman" w:cs="Calibri" w:ascii="Calibri" w:hAnsi="Calibri" w:asciiTheme="majorHAnsi" w:cstheme="majorHAnsi" w:hAnsiTheme="majorHAnsi"/>
                <w:color w:val="000000"/>
                <w:sz w:val="20"/>
                <w:szCs w:val="20"/>
                <w:highlight w:val="yellow"/>
              </w:rPr>
              <w:t>TOTAL ATHLETE REG</w:t>
            </w:r>
          </w:p>
        </w:tc>
        <w:tc>
          <w:tcPr>
            <w:tcW w:w="1415" w:type="dxa"/>
            <w:tcBorders>
              <w:top w:val="single" w:sz="4" w:space="0" w:color="000000"/>
              <w:bottom w:val="single" w:sz="4" w:space="0" w:color="000000"/>
              <w:right w:val="single" w:sz="4" w:space="0" w:color="000000"/>
            </w:tcBorders>
            <w:shd w:color="auto" w:fill="FFFF00" w:val="clear"/>
            <w:vAlign w:val="bottom"/>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highlight w:val="yellow"/>
              </w:rPr>
            </w:pPr>
            <w:r>
              <w:rPr>
                <w:rFonts w:eastAsia="Times New Roman" w:cs="Calibri" w:ascii="Calibri" w:hAnsi="Calibri" w:asciiTheme="majorHAnsi" w:cstheme="majorHAnsi" w:hAnsiTheme="majorHAnsi"/>
                <w:color w:val="000000"/>
                <w:sz w:val="20"/>
                <w:szCs w:val="20"/>
                <w:highlight w:val="yellow"/>
              </w:rPr>
              <w:t>4228</w:t>
            </w:r>
          </w:p>
        </w:tc>
        <w:tc>
          <w:tcPr>
            <w:tcW w:w="1415" w:type="dxa"/>
            <w:tcBorders>
              <w:top w:val="single" w:sz="4" w:space="0" w:color="000000"/>
              <w:bottom w:val="single" w:sz="4" w:space="0" w:color="000000"/>
            </w:tcBorders>
            <w:shd w:color="auto" w:fill="FFFF00" w:val="clear"/>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highlight w:val="yellow"/>
              </w:rPr>
            </w:pPr>
            <w:r>
              <w:rPr>
                <w:rFonts w:eastAsia="Times New Roman" w:cs="Calibri" w:ascii="Calibri" w:hAnsi="Calibri" w:asciiTheme="majorHAnsi" w:cstheme="majorHAnsi" w:hAnsiTheme="majorHAnsi"/>
                <w:color w:val="000000"/>
                <w:sz w:val="20"/>
                <w:szCs w:val="20"/>
                <w:highlight w:val="yellow"/>
              </w:rPr>
              <w:t>4581</w:t>
            </w:r>
          </w:p>
        </w:tc>
        <w:tc>
          <w:tcPr>
            <w:tcW w:w="1413" w:type="dxa"/>
            <w:tcBorders>
              <w:top w:val="single" w:sz="4" w:space="0" w:color="000000"/>
              <w:bottom w:val="single" w:sz="4" w:space="0" w:color="000000"/>
            </w:tcBorders>
            <w:shd w:color="auto" w:fill="FFFF00" w:val="clear"/>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highlight w:val="yellow"/>
              </w:rPr>
            </w:pPr>
            <w:r>
              <w:rPr>
                <w:rFonts w:eastAsia="Times New Roman" w:cs="Calibri" w:ascii="Calibri" w:hAnsi="Calibri" w:asciiTheme="majorHAnsi" w:cstheme="majorHAnsi" w:hAnsiTheme="majorHAnsi"/>
                <w:color w:val="000000"/>
                <w:sz w:val="20"/>
                <w:szCs w:val="20"/>
                <w:highlight w:val="yellow"/>
              </w:rPr>
              <w:t>3793</w:t>
            </w:r>
          </w:p>
        </w:tc>
        <w:tc>
          <w:tcPr>
            <w:tcW w:w="1428" w:type="dxa"/>
            <w:tcBorders>
              <w:top w:val="single" w:sz="4" w:space="0" w:color="000000"/>
              <w:bottom w:val="single" w:sz="4" w:space="0" w:color="000000"/>
            </w:tcBorders>
            <w:shd w:color="auto" w:fill="FFFF00" w:val="clear"/>
          </w:tcPr>
          <w:p>
            <w:pPr>
              <w:pStyle w:val="Normal"/>
              <w:widowControl w:val="false"/>
              <w:spacing w:lineRule="auto" w:line="240"/>
              <w:rPr>
                <w:rFonts w:ascii="Calibri" w:hAnsi="Calibri" w:eastAsia="Times New Roman" w:cs="Calibri" w:asciiTheme="majorHAnsi" w:cstheme="majorHAnsi" w:hAnsiTheme="majorHAnsi"/>
                <w:color w:val="000000"/>
                <w:sz w:val="20"/>
                <w:szCs w:val="20"/>
                <w:highlight w:val="yellow"/>
              </w:rPr>
            </w:pPr>
            <w:r>
              <w:rPr>
                <w:rFonts w:eastAsia="Times New Roman" w:cs="Calibri" w:ascii="Calibri" w:hAnsi="Calibri" w:asciiTheme="majorHAnsi" w:cstheme="majorHAnsi" w:hAnsiTheme="majorHAnsi"/>
                <w:color w:val="000000"/>
                <w:sz w:val="20"/>
                <w:szCs w:val="20"/>
                <w:highlight w:val="yellow"/>
              </w:rPr>
              <w:t>1483</w:t>
            </w:r>
          </w:p>
        </w:tc>
        <w:tc>
          <w:tcPr>
            <w:tcW w:w="1635" w:type="dxa"/>
            <w:tcBorders>
              <w:top w:val="single" w:sz="4" w:space="0" w:color="000000"/>
              <w:bottom w:val="single" w:sz="4" w:space="0" w:color="000000"/>
              <w:right w:val="single" w:sz="4" w:space="0" w:color="000000"/>
            </w:tcBorders>
            <w:shd w:color="auto" w:fill="FFFF00"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highlight w:val="yellow"/>
              </w:rPr>
              <w:t>Athlete</w:t>
            </w:r>
          </w:p>
        </w:tc>
      </w:tr>
      <w:tr>
        <w:trPr>
          <w:trHeight w:val="288" w:hRule="atLeast"/>
        </w:trPr>
        <w:tc>
          <w:tcPr>
            <w:tcW w:w="217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Individual</w:t>
            </w:r>
          </w:p>
        </w:tc>
        <w:tc>
          <w:tcPr>
            <w:tcW w:w="1415"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307</w:t>
            </w:r>
          </w:p>
        </w:tc>
        <w:tc>
          <w:tcPr>
            <w:tcW w:w="1415"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353</w:t>
            </w:r>
          </w:p>
        </w:tc>
        <w:tc>
          <w:tcPr>
            <w:tcW w:w="1413"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438</w:t>
            </w:r>
          </w:p>
        </w:tc>
        <w:tc>
          <w:tcPr>
            <w:tcW w:w="1428" w:type="dxa"/>
            <w:tcBorders>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136</w:t>
            </w:r>
          </w:p>
        </w:tc>
        <w:tc>
          <w:tcPr>
            <w:tcW w:w="1635"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Non-Athlete</w:t>
            </w:r>
          </w:p>
        </w:tc>
      </w:tr>
      <w:tr>
        <w:trPr>
          <w:trHeight w:val="288" w:hRule="atLeast"/>
        </w:trPr>
        <w:tc>
          <w:tcPr>
            <w:tcW w:w="217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Life</w:t>
            </w:r>
          </w:p>
        </w:tc>
        <w:tc>
          <w:tcPr>
            <w:tcW w:w="1415"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5</w:t>
            </w:r>
          </w:p>
        </w:tc>
        <w:tc>
          <w:tcPr>
            <w:tcW w:w="1415"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5</w:t>
            </w:r>
          </w:p>
        </w:tc>
        <w:tc>
          <w:tcPr>
            <w:tcW w:w="1413"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5</w:t>
            </w:r>
          </w:p>
        </w:tc>
        <w:tc>
          <w:tcPr>
            <w:tcW w:w="1428" w:type="dxa"/>
            <w:tcBorders>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5</w:t>
            </w:r>
          </w:p>
        </w:tc>
        <w:tc>
          <w:tcPr>
            <w:tcW w:w="1635"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Non-Athlete</w:t>
            </w:r>
          </w:p>
        </w:tc>
      </w:tr>
      <w:tr>
        <w:trPr>
          <w:trHeight w:val="288" w:hRule="atLeast"/>
        </w:trPr>
        <w:tc>
          <w:tcPr>
            <w:tcW w:w="2176" w:type="dxa"/>
            <w:tcBorders>
              <w:left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Club</w:t>
            </w:r>
          </w:p>
        </w:tc>
        <w:tc>
          <w:tcPr>
            <w:tcW w:w="1415" w:type="dxa"/>
            <w:tcBorders>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27</w:t>
            </w:r>
          </w:p>
        </w:tc>
        <w:tc>
          <w:tcPr>
            <w:tcW w:w="1415" w:type="dxa"/>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29</w:t>
            </w:r>
          </w:p>
        </w:tc>
        <w:tc>
          <w:tcPr>
            <w:tcW w:w="1413" w:type="dxa"/>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29</w:t>
            </w:r>
          </w:p>
        </w:tc>
        <w:tc>
          <w:tcPr>
            <w:tcW w:w="1428" w:type="dxa"/>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21</w:t>
            </w:r>
          </w:p>
        </w:tc>
        <w:tc>
          <w:tcPr>
            <w:tcW w:w="1635" w:type="dxa"/>
            <w:tcBorders>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Clubs</w:t>
            </w:r>
          </w:p>
        </w:tc>
      </w:tr>
      <w:tr>
        <w:trPr>
          <w:trHeight w:val="288" w:hRule="atLeast"/>
        </w:trPr>
        <w:tc>
          <w:tcPr>
            <w:tcW w:w="217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Club Seasonal</w:t>
            </w:r>
          </w:p>
        </w:tc>
        <w:tc>
          <w:tcPr>
            <w:tcW w:w="1415"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0</w:t>
            </w:r>
          </w:p>
        </w:tc>
        <w:tc>
          <w:tcPr>
            <w:tcW w:w="1415"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0</w:t>
            </w:r>
          </w:p>
        </w:tc>
        <w:tc>
          <w:tcPr>
            <w:tcW w:w="1413" w:type="dxa"/>
            <w:tcBorders>
              <w:bottom w:val="single" w:sz="4" w:space="0" w:color="000000"/>
            </w:tcBorders>
          </w:tcPr>
          <w:p>
            <w:pPr>
              <w:pStyle w:val="Normal"/>
              <w:widowControl w:val="false"/>
              <w:spacing w:lineRule="auto" w:line="240"/>
              <w:jc w:val="right"/>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NA</w:t>
            </w:r>
          </w:p>
        </w:tc>
        <w:tc>
          <w:tcPr>
            <w:tcW w:w="1428" w:type="dxa"/>
            <w:tcBorders>
              <w:bottom w:val="single" w:sz="4" w:space="0" w:color="000000"/>
            </w:tcBorders>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NA</w:t>
            </w:r>
          </w:p>
        </w:tc>
        <w:tc>
          <w:tcPr>
            <w:tcW w:w="1635"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asciiTheme="majorHAnsi" w:cstheme="majorHAnsi" w:hAnsiTheme="majorHAnsi"/>
                <w:color w:val="000000"/>
                <w:sz w:val="20"/>
                <w:szCs w:val="20"/>
              </w:rPr>
            </w:pPr>
            <w:r>
              <w:rPr>
                <w:rFonts w:eastAsia="Times New Roman" w:cs="Calibri" w:ascii="Calibri" w:hAnsi="Calibri" w:asciiTheme="majorHAnsi" w:cstheme="majorHAnsi" w:hAnsiTheme="majorHAnsi"/>
                <w:color w:val="000000"/>
                <w:sz w:val="20"/>
                <w:szCs w:val="20"/>
              </w:rPr>
              <w:t>Seasonal Club</w:t>
            </w:r>
          </w:p>
        </w:tc>
      </w:tr>
    </w:tbl>
    <w:p>
      <w:pPr>
        <w:pStyle w:val="NoSpacing"/>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Total Athlete Registrations 2018:               3929</w:t>
      </w:r>
    </w:p>
    <w:p>
      <w:pPr>
        <w:pStyle w:val="NoSpacing"/>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Total Athlete Registrations 2019:</w:t>
        <w:tab/>
        <w:t xml:space="preserve">          4440</w:t>
      </w:r>
    </w:p>
    <w:p>
      <w:pPr>
        <w:pStyle w:val="NoSpacing"/>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Total Athlete Registrations 2020:</w:t>
        <w:tab/>
        <w:t xml:space="preserve">          3860</w:t>
      </w:r>
    </w:p>
    <w:p>
      <w:pPr>
        <w:pStyle w:val="NoSpacing"/>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Total Athlete Registrations 2021:</w:t>
        <w:tab/>
        <w:t xml:space="preserve">          4228</w:t>
      </w:r>
    </w:p>
    <w:p>
      <w:pPr>
        <w:pStyle w:val="NoSpacing"/>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Total Athlete Registrations 2022: </w:t>
        <w:tab/>
        <w:t xml:space="preserve">          4581</w:t>
      </w:r>
    </w:p>
    <w:p>
      <w:pPr>
        <w:pStyle w:val="NoSpacing"/>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Total Athlete Registrations 2023:              3793</w:t>
      </w:r>
    </w:p>
    <w:p>
      <w:pPr>
        <w:pStyle w:val="NoSpacing"/>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Spacing"/>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ascii="Calibri" w:hAnsi="Calibri" w:asciiTheme="majorHAnsi" w:cstheme="majorHAnsi" w:hAnsiTheme="majorHAnsi"/>
          <w:sz w:val="20"/>
          <w:szCs w:val="20"/>
        </w:rPr>
        <w:t>The registrations numbers are through November 13, 2023</w:t>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cstheme="majorHAnsi" w:ascii="Calibri" w:hAnsi="Calibri"/>
          <w:sz w:val="20"/>
          <w:szCs w:val="20"/>
        </w:rPr>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ascii="Calibri" w:hAnsi="Calibri" w:asciiTheme="majorHAnsi" w:cstheme="majorHAnsi" w:hAnsiTheme="majorHAnsi"/>
          <w:sz w:val="20"/>
          <w:szCs w:val="20"/>
        </w:rPr>
        <w:t>There are 4 apprentice officials registered but there is no fee until they re-register after they complete their shadowing.  They are not counted in the registration numbers.</w:t>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cstheme="majorHAnsi" w:ascii="Calibri" w:hAnsi="Calibri"/>
          <w:sz w:val="20"/>
          <w:szCs w:val="20"/>
        </w:rPr>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u w:val="single"/>
        </w:rPr>
      </w:pPr>
      <w:r>
        <w:rPr>
          <w:rFonts w:eastAsia="Times New Roman" w:cs="Calibri" w:ascii="Calibri" w:hAnsi="Calibri" w:asciiTheme="majorHAnsi" w:cstheme="majorHAnsi" w:hAnsiTheme="majorHAnsi"/>
          <w:sz w:val="20"/>
          <w:szCs w:val="20"/>
          <w:u w:val="single"/>
        </w:rPr>
        <w:t>Outstanding Fines:</w:t>
      </w:r>
    </w:p>
    <w:p>
      <w:pPr>
        <w:pStyle w:val="ListParagraph"/>
        <w:numPr>
          <w:ilvl w:val="0"/>
          <w:numId w:val="2"/>
        </w:numPr>
        <w:tabs>
          <w:tab w:val="clear" w:pos="720"/>
          <w:tab w:val="left" w:pos="1440" w:leader="none"/>
          <w:tab w:val="left" w:pos="6480" w:leader="none"/>
          <w:tab w:val="left" w:pos="7830" w:leader="none"/>
          <w:tab w:val="left" w:pos="10440" w:leader="none"/>
          <w:tab w:val="right" w:pos="11340" w:leader="underscore"/>
        </w:tabs>
        <w:rPr>
          <w:rFonts w:ascii="Calibri" w:hAnsi="Calibri" w:eastAsia="Times New Roman" w:cs="Calibri" w:asciiTheme="majorHAnsi" w:cstheme="majorHAnsi" w:hAnsiTheme="majorHAnsi"/>
          <w:sz w:val="20"/>
          <w:szCs w:val="20"/>
        </w:rPr>
      </w:pPr>
      <w:r>
        <w:rPr>
          <w:rFonts w:eastAsia="Times New Roman" w:cs="Calibri" w:ascii="Calibri" w:hAnsi="Calibri" w:asciiTheme="majorHAnsi" w:cstheme="majorHAnsi" w:hAnsiTheme="majorHAnsi"/>
          <w:sz w:val="20"/>
          <w:szCs w:val="20"/>
        </w:rPr>
        <w:t xml:space="preserve">SSD: $150 from 11/2022 </w:t>
      </w:r>
      <w:r>
        <w:rPr>
          <w:rFonts w:eastAsia="Times New Roman" w:cs="Calibri" w:ascii="Calibri" w:hAnsi="Calibri" w:asciiTheme="majorHAnsi" w:cstheme="majorHAnsi" w:hAnsiTheme="majorHAnsi"/>
          <w:sz w:val="20"/>
          <w:szCs w:val="20"/>
          <w:shd w:fill="FFFF00" w:val="clear"/>
        </w:rPr>
        <w:t>(Mary will keep this noted in case they decide to re-form in the future)</w:t>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cstheme="majorHAnsi" w:ascii="Calibri" w:hAnsi="Calibri"/>
          <w:sz w:val="20"/>
          <w:szCs w:val="20"/>
        </w:rPr>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cstheme="majorHAnsi" w:ascii="Calibri" w:hAnsi="Calibri"/>
          <w:sz w:val="20"/>
          <w:szCs w:val="20"/>
        </w:rPr>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u w:val="single"/>
        </w:rPr>
      </w:pPr>
      <w:r>
        <w:rPr>
          <w:rFonts w:eastAsia="Times New Roman" w:cs="Calibri" w:ascii="Calibri" w:hAnsi="Calibri" w:asciiTheme="majorHAnsi" w:cstheme="majorHAnsi" w:hAnsiTheme="majorHAnsi"/>
          <w:sz w:val="20"/>
          <w:szCs w:val="20"/>
          <w:u w:val="single"/>
        </w:rPr>
        <w:t xml:space="preserve">Teams not registered for 2024: </w:t>
      </w:r>
      <w:r>
        <w:rPr>
          <w:rFonts w:eastAsia="Times New Roman" w:cs="Calibri" w:ascii="Calibri" w:hAnsi="Calibri" w:asciiTheme="majorHAnsi" w:cstheme="majorHAnsi" w:hAnsiTheme="majorHAnsi"/>
          <w:sz w:val="20"/>
          <w:szCs w:val="20"/>
          <w:u w:val="single"/>
          <w:shd w:fill="FFFF00" w:val="clear"/>
        </w:rPr>
        <w:t>(Mary noted that only 3 of these remained un registered as of 12/3</w:t>
      </w:r>
      <w:r>
        <w:rPr>
          <w:rFonts w:eastAsia="Times New Roman" w:cs="Calibri" w:ascii="Calibri" w:hAnsi="Calibri" w:asciiTheme="majorHAnsi" w:cstheme="majorHAnsi" w:hAnsiTheme="majorHAnsi"/>
          <w:sz w:val="20"/>
          <w:szCs w:val="20"/>
          <w:u w:val="single"/>
        </w:rPr>
        <w:t>)</w:t>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ascii="Calibri" w:hAnsi="Calibri" w:asciiTheme="majorHAnsi" w:cstheme="majorHAnsi" w:hAnsiTheme="majorHAnsi"/>
          <w:sz w:val="20"/>
          <w:szCs w:val="20"/>
          <w:highlight w:val="yellow"/>
        </w:rPr>
        <w:t>CALI</w:t>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ascii="Calibri" w:hAnsi="Calibri" w:asciiTheme="majorHAnsi" w:cstheme="majorHAnsi" w:hAnsiTheme="majorHAnsi"/>
          <w:sz w:val="20"/>
          <w:szCs w:val="20"/>
        </w:rPr>
        <w:t>ICAC</w:t>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ascii="Calibri" w:hAnsi="Calibri" w:asciiTheme="majorHAnsi" w:cstheme="majorHAnsi" w:hAnsiTheme="majorHAnsi"/>
          <w:sz w:val="20"/>
          <w:szCs w:val="20"/>
          <w:highlight w:val="yellow"/>
        </w:rPr>
        <w:t>SDSA</w:t>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ascii="Calibri" w:hAnsi="Calibri" w:asciiTheme="majorHAnsi" w:cstheme="majorHAnsi" w:hAnsiTheme="majorHAnsi"/>
          <w:sz w:val="20"/>
          <w:szCs w:val="20"/>
          <w:highlight w:val="yellow"/>
        </w:rPr>
        <w:t>SOL</w:t>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ascii="Calibri" w:hAnsi="Calibri" w:asciiTheme="majorHAnsi" w:cstheme="majorHAnsi" w:hAnsiTheme="majorHAnsi"/>
          <w:sz w:val="20"/>
          <w:szCs w:val="20"/>
        </w:rPr>
        <w:t>SSD</w:t>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ascii="Calibri" w:hAnsi="Calibri" w:asciiTheme="majorHAnsi" w:cstheme="majorHAnsi" w:hAnsiTheme="majorHAnsi"/>
          <w:sz w:val="20"/>
          <w:szCs w:val="20"/>
        </w:rPr>
        <w:t>SWMX</w:t>
      </w:r>
    </w:p>
    <w:p>
      <w:pPr>
        <w:pStyle w:val="Normal"/>
        <w:tabs>
          <w:tab w:val="clear" w:pos="720"/>
          <w:tab w:val="left" w:pos="1440" w:leader="none"/>
          <w:tab w:val="left" w:pos="6480" w:leader="none"/>
          <w:tab w:val="left" w:pos="7830" w:leader="none"/>
          <w:tab w:val="left" w:pos="10440" w:leader="none"/>
          <w:tab w:val="right" w:pos="11340" w:leader="underscore"/>
        </w:tabs>
        <w:spacing w:lineRule="auto" w:line="240"/>
        <w:jc w:val="center"/>
        <w:rPr>
          <w:rFonts w:ascii="Calibri" w:hAnsi="Calibri" w:eastAsia="Times New Roman" w:cs="Calibri" w:asciiTheme="majorHAnsi" w:cstheme="majorHAnsi" w:hAnsiTheme="majorHAnsi"/>
          <w:sz w:val="20"/>
          <w:szCs w:val="20"/>
          <w:u w:val="single"/>
        </w:rPr>
      </w:pPr>
      <w:r>
        <w:rPr>
          <w:rFonts w:eastAsia="Times New Roman" w:cs="Calibri" w:ascii="Calibri" w:hAnsi="Calibri" w:asciiTheme="majorHAnsi" w:cstheme="majorHAnsi" w:hAnsiTheme="majorHAnsi"/>
          <w:sz w:val="20"/>
          <w:szCs w:val="20"/>
          <w:u w:val="single"/>
        </w:rPr>
        <w:t>2024 Registration Fee Information</w:t>
      </w:r>
    </w:p>
    <w:p>
      <w:pPr>
        <w:pStyle w:val="Normal"/>
        <w:tabs>
          <w:tab w:val="clear" w:pos="720"/>
          <w:tab w:val="left" w:pos="1440" w:leader="none"/>
          <w:tab w:val="left" w:pos="6480" w:leader="none"/>
          <w:tab w:val="left" w:pos="7830" w:leader="none"/>
          <w:tab w:val="right" w:pos="11340" w:leader="underscore"/>
        </w:tabs>
        <w:spacing w:lineRule="auto" w:line="240"/>
        <w:jc w:val="center"/>
        <w:rPr>
          <w:rFonts w:ascii="Calibri" w:hAnsi="Calibri" w:eastAsia="Times New Roman" w:cs="Calibri" w:asciiTheme="majorHAnsi" w:cstheme="majorHAnsi" w:hAnsiTheme="majorHAnsi"/>
          <w:sz w:val="20"/>
          <w:szCs w:val="20"/>
          <w:u w:val="single"/>
        </w:rPr>
      </w:pPr>
      <w:r>
        <w:rPr>
          <w:rFonts w:eastAsia="Times New Roman" w:cs="Calibri" w:ascii="Calibri" w:hAnsi="Calibri" w:asciiTheme="majorHAnsi" w:cstheme="majorHAnsi" w:hAnsiTheme="majorHAnsi"/>
          <w:sz w:val="20"/>
          <w:szCs w:val="20"/>
          <w:u w:val="single"/>
        </w:rPr>
        <w:t>SAN DIEGO IMPERIAL FEES:</w:t>
      </w:r>
    </w:p>
    <w:p>
      <w:pPr>
        <w:pStyle w:val="Normal"/>
        <w:tabs>
          <w:tab w:val="clear" w:pos="720"/>
          <w:tab w:val="left" w:pos="1440" w:leader="none"/>
          <w:tab w:val="left" w:pos="6480" w:leader="none"/>
          <w:tab w:val="left" w:pos="783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cstheme="majorHAnsi" w:ascii="Calibri" w:hAnsi="Calibri"/>
          <w:sz w:val="20"/>
          <w:szCs w:val="20"/>
        </w:rPr>
      </w:r>
    </w:p>
    <w:tbl>
      <w:tblPr>
        <w:tblStyle w:val="TableGrid1"/>
        <w:tblW w:w="10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77"/>
        <w:gridCol w:w="1970"/>
        <w:gridCol w:w="1016"/>
        <w:gridCol w:w="4204"/>
      </w:tblGrid>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REGISTRATION TYPE &amp; WHO IS ELIGIBLE</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AGE RANGE</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FEE</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RESTRICTIONS</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center"/>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ATHLETES</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Arial" w:cs="Calibri" w:cstheme="majorHAnsi" w:ascii="Calibri" w:hAnsi="Calibri"/>
                <w:kern w:val="0"/>
                <w:sz w:val="20"/>
                <w:szCs w:val="20"/>
                <w:lang w:val="en-US" w:eastAsia="en-US" w:bidi="ar-SA"/>
              </w:rPr>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Arial" w:cs="Calibri" w:cstheme="majorHAnsi" w:ascii="Calibri" w:hAnsi="Calibri"/>
                <w:kern w:val="0"/>
                <w:sz w:val="20"/>
                <w:szCs w:val="20"/>
                <w:lang w:val="en-US" w:eastAsia="en-US" w:bidi="ar-SA"/>
              </w:rPr>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Arial" w:cs="Calibri" w:cstheme="majorHAnsi" w:ascii="Calibri" w:hAnsi="Calibri"/>
                <w:kern w:val="0"/>
                <w:sz w:val="20"/>
                <w:szCs w:val="20"/>
                <w:lang w:val="en-US" w:eastAsia="en-US" w:bidi="ar-SA"/>
              </w:rPr>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Premium Athlete</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1-99</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$85</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Can swim in any meet</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Flex Athlete (cannot use for championship meets)</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1-12</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$30</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Must upgrade to premium athlete after swimming in 2 meets($55 to upgrade)</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Season 1 Athlete</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1-99 (4/4-8/31/2024 only)</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$55</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Can swim any meet below zone, sectional &amp; national level</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Outreach Athlete</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1-99</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$7</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See criteria for qualification</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center"/>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NON-ATHLETES</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Arial" w:cs="Calibri" w:cstheme="majorHAnsi" w:ascii="Calibri" w:hAnsi="Calibri"/>
                <w:kern w:val="0"/>
                <w:sz w:val="20"/>
                <w:szCs w:val="20"/>
                <w:lang w:val="en-US" w:eastAsia="en-US" w:bidi="ar-SA"/>
              </w:rPr>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Arial" w:cs="Calibri" w:cstheme="majorHAnsi" w:ascii="Calibri" w:hAnsi="Calibri"/>
                <w:kern w:val="0"/>
                <w:sz w:val="20"/>
                <w:szCs w:val="20"/>
                <w:lang w:val="en-US" w:eastAsia="en-US" w:bidi="ar-SA"/>
              </w:rPr>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Arial" w:cs="Calibri" w:cstheme="majorHAnsi" w:ascii="Calibri" w:hAnsi="Calibri"/>
                <w:kern w:val="0"/>
                <w:sz w:val="20"/>
                <w:szCs w:val="20"/>
                <w:lang w:val="en-US" w:eastAsia="en-US" w:bidi="ar-SA"/>
              </w:rPr>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Coach</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18-99</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$85</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Complete all required certifications</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Official/Non-Athlete Member</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18-99</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$85</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Complete all required certifications</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Other(Chaperone, Board Member/has direct contact with athletes)</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18-99</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$85</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Complete all required certifications</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Junior Coach</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16-17</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$85</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Must complete all coaching certifications except background check</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 xml:space="preserve">Apprentice Official </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18-99</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$0</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Must become an Official member when shadowing is complete</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Administrator(Board Members, Team employees-those not in direct contact w/athletes)</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18-99</w:t>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$45</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Can upgrade to Official/Non-Athlete Member if becoming a coach or an official($40 to upgrade)</w:t>
            </w:r>
          </w:p>
        </w:tc>
      </w:tr>
      <w:tr>
        <w:trPr/>
        <w:tc>
          <w:tcPr>
            <w:tcW w:w="3177"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center"/>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TEAM/CLUB</w:t>
            </w:r>
          </w:p>
        </w:tc>
        <w:tc>
          <w:tcPr>
            <w:tcW w:w="1970"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Arial" w:cs="Calibri" w:cstheme="majorHAnsi" w:ascii="Calibri" w:hAnsi="Calibri"/>
                <w:kern w:val="0"/>
                <w:sz w:val="20"/>
                <w:szCs w:val="20"/>
                <w:lang w:val="en-US" w:eastAsia="en-US" w:bidi="ar-SA"/>
              </w:rPr>
            </w:r>
          </w:p>
        </w:tc>
        <w:tc>
          <w:tcPr>
            <w:tcW w:w="1016"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Times New Roman" w:cs="Calibri" w:ascii="Calibri" w:hAnsi="Calibri" w:asciiTheme="majorHAnsi" w:cstheme="majorHAnsi" w:hAnsiTheme="majorHAnsi"/>
                <w:kern w:val="0"/>
                <w:sz w:val="20"/>
                <w:szCs w:val="20"/>
                <w:lang w:val="en-US" w:eastAsia="en-US" w:bidi="ar-SA"/>
              </w:rPr>
              <w:t>$100</w:t>
            </w:r>
          </w:p>
        </w:tc>
        <w:tc>
          <w:tcPr>
            <w:tcW w:w="4204" w:type="dxa"/>
            <w:tcBorders/>
          </w:tcPr>
          <w:p>
            <w:pPr>
              <w:pStyle w:val="Normal"/>
              <w:widowControl w:val="false"/>
              <w:tabs>
                <w:tab w:val="clear" w:pos="720"/>
                <w:tab w:val="left" w:pos="1440" w:leader="none"/>
                <w:tab w:val="left" w:pos="6480" w:leader="none"/>
                <w:tab w:val="left" w:pos="7830" w:leader="none"/>
                <w:tab w:val="right" w:pos="11340" w:leader="underscore"/>
              </w:tabs>
              <w:suppressAutoHyphens w:val="true"/>
              <w:spacing w:lineRule="auto" w:line="240" w:before="0" w:after="0"/>
              <w:jc w:val="left"/>
              <w:rPr>
                <w:rFonts w:ascii="Calibri" w:hAnsi="Calibri" w:cs="Calibri" w:asciiTheme="majorHAnsi" w:cstheme="majorHAnsi" w:hAnsiTheme="majorHAnsi"/>
              </w:rPr>
            </w:pPr>
            <w:r>
              <w:rPr>
                <w:rFonts w:eastAsia="Arial" w:cs="Calibri" w:cstheme="majorHAnsi" w:ascii="Calibri" w:hAnsi="Calibri"/>
                <w:kern w:val="0"/>
                <w:sz w:val="20"/>
                <w:szCs w:val="20"/>
                <w:lang w:val="en-US" w:eastAsia="en-US" w:bidi="ar-SA"/>
              </w:rPr>
            </w:r>
          </w:p>
        </w:tc>
      </w:tr>
    </w:tbl>
    <w:p>
      <w:pPr>
        <w:pStyle w:val="Normal"/>
        <w:tabs>
          <w:tab w:val="clear" w:pos="720"/>
          <w:tab w:val="left" w:pos="1440" w:leader="none"/>
          <w:tab w:val="left" w:pos="6480" w:leader="none"/>
          <w:tab w:val="left" w:pos="783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cstheme="majorHAnsi" w:ascii="Calibri" w:hAnsi="Calibri"/>
          <w:sz w:val="20"/>
          <w:szCs w:val="20"/>
        </w:rPr>
      </w:r>
    </w:p>
    <w:p>
      <w:pPr>
        <w:pStyle w:val="Normal"/>
        <w:tabs>
          <w:tab w:val="clear" w:pos="720"/>
          <w:tab w:val="left" w:pos="1440" w:leader="none"/>
          <w:tab w:val="left" w:pos="6480" w:leader="none"/>
          <w:tab w:val="left" w:pos="7830" w:leader="none"/>
          <w:tab w:val="right" w:pos="11340" w:leader="underscore"/>
        </w:tabs>
        <w:spacing w:lineRule="auto" w:line="240"/>
        <w:rPr>
          <w:rFonts w:ascii="Calibri" w:hAnsi="Calibri" w:eastAsia="Times New Roman" w:cs="Calibri" w:asciiTheme="majorHAnsi" w:cstheme="majorHAnsi" w:hAnsiTheme="majorHAnsi"/>
          <w:sz w:val="20"/>
          <w:szCs w:val="20"/>
        </w:rPr>
      </w:pPr>
      <w:r>
        <w:rPr>
          <w:rFonts w:eastAsia="Times New Roman" w:cs="Calibri" w:cstheme="majorHAnsi" w:ascii="Calibri" w:hAnsi="Calibri"/>
          <w:sz w:val="20"/>
          <w:szCs w:val="20"/>
        </w:rPr>
      </w:r>
    </w:p>
    <w:p>
      <w:pPr>
        <w:pStyle w:val="Normal"/>
        <w:pBdr>
          <w:top w:val="single" w:sz="4" w:space="1" w:color="000000"/>
          <w:left w:val="single" w:sz="4" w:space="4" w:color="000000"/>
          <w:bottom w:val="single" w:sz="4" w:space="1" w:color="000000"/>
          <w:right w:val="single" w:sz="4" w:space="4" w:color="000000"/>
        </w:pBdr>
        <w:tabs>
          <w:tab w:val="clear" w:pos="720"/>
          <w:tab w:val="left" w:pos="1440" w:leader="none"/>
          <w:tab w:val="left" w:pos="6480" w:leader="none"/>
          <w:tab w:val="left" w:pos="7830" w:leader="none"/>
          <w:tab w:val="right" w:pos="11340" w:leader="underscore"/>
        </w:tabs>
        <w:spacing w:lineRule="auto" w:line="240"/>
        <w:jc w:val="center"/>
        <w:rPr>
          <w:rFonts w:ascii="Calibri" w:hAnsi="Calibri" w:eastAsia="Times New Roman" w:cs="Calibri" w:asciiTheme="majorHAnsi" w:cstheme="majorHAnsi" w:hAnsiTheme="majorHAnsi"/>
          <w:sz w:val="20"/>
          <w:szCs w:val="20"/>
        </w:rPr>
      </w:pPr>
      <w:r>
        <w:rPr>
          <w:rFonts w:eastAsia="Times New Roman" w:cs="Calibri" w:ascii="Calibri" w:hAnsi="Calibri" w:asciiTheme="majorHAnsi" w:cstheme="majorHAnsi" w:hAnsiTheme="majorHAnsi"/>
          <w:sz w:val="20"/>
          <w:szCs w:val="20"/>
        </w:rPr>
        <w:t>Registration links:  DO NOT POST REGISTRATION LINKS FOR YOUR CLUB ON YOUR WEBSITE- These are specific to your club.</w:t>
      </w:r>
    </w:p>
    <w:p>
      <w:pPr>
        <w:pStyle w:val="NoSpacing"/>
        <w:rPr>
          <w:rFonts w:ascii="Calibri" w:hAnsi="Calibri" w:cs="Calibri" w:asciiTheme="majorHAnsi" w:cstheme="majorHAnsi" w:hAnsiTheme="majorHAnsi"/>
          <w:sz w:val="20"/>
          <w:szCs w:val="20"/>
        </w:rPr>
      </w:pPr>
      <w:r>
        <w:rPr>
          <w:rFonts w:cs="Calibri" w:cstheme="majorHAnsi" w:ascii="Calibri" w:hAnsi="Calibri"/>
          <w:sz w:val="20"/>
          <w:szCs w:val="20"/>
        </w:rPr>
      </w:r>
    </w:p>
    <w:p>
      <w:pPr>
        <w:pStyle w:val="Heading3"/>
        <w:rPr>
          <w:rFonts w:ascii="Calibri" w:hAnsi="Calibri" w:cs="Calibri" w:asciiTheme="majorHAnsi" w:cstheme="majorHAnsi" w:hAnsiTheme="majorHAnsi"/>
          <w:bCs/>
          <w:color w:val="auto"/>
          <w:sz w:val="20"/>
          <w:szCs w:val="20"/>
        </w:rPr>
      </w:pPr>
      <w:bookmarkStart w:id="7" w:name="_Toc125014726"/>
      <w:r>
        <w:rPr>
          <w:rFonts w:cs="Calibri" w:ascii="Calibri" w:hAnsi="Calibri" w:asciiTheme="majorHAnsi" w:cstheme="majorHAnsi" w:hAnsiTheme="majorHAnsi"/>
          <w:bCs/>
          <w:color w:val="auto"/>
          <w:sz w:val="20"/>
          <w:szCs w:val="20"/>
        </w:rPr>
        <w:t>Athlete Report – Simran Jayasinghe</w:t>
      </w:r>
      <w:bookmarkEnd w:id="7"/>
      <w:r>
        <w:rPr>
          <w:rFonts w:cs="Calibri" w:ascii="Calibri" w:hAnsi="Calibri" w:asciiTheme="majorHAnsi" w:cstheme="majorHAnsi" w:hAnsiTheme="majorHAnsi"/>
          <w:bCs/>
          <w:color w:val="auto"/>
          <w:sz w:val="20"/>
          <w:szCs w:val="20"/>
        </w:rPr>
        <w:t xml:space="preserve"> </w:t>
      </w:r>
    </w:p>
    <w:p>
      <w:pPr>
        <w:pStyle w:val="NormalWeb"/>
        <w:textAlignment w:val="baseline"/>
        <w:rPr>
          <w:rFonts w:ascii="Calibri" w:hAnsi="Calibri" w:cs="Calibri" w:asciiTheme="majorHAnsi" w:cstheme="majorHAnsi" w:hAnsiTheme="majorHAnsi"/>
          <w:color w:val="000000"/>
          <w:sz w:val="20"/>
          <w:szCs w:val="20"/>
        </w:rPr>
      </w:pPr>
      <w:r>
        <w:rPr>
          <w:rFonts w:cs="Calibri" w:ascii="Calibri" w:hAnsi="Calibri" w:asciiTheme="majorHAnsi" w:cstheme="majorHAnsi" w:hAnsiTheme="majorHAnsi"/>
          <w:color w:val="000000"/>
          <w:sz w:val="20"/>
          <w:szCs w:val="20"/>
        </w:rPr>
        <w:t xml:space="preserve">No report  </w:t>
      </w:r>
    </w:p>
    <w:p>
      <w:pPr>
        <w:pStyle w:val="Heading3"/>
        <w:rPr>
          <w:rFonts w:ascii="Calibri" w:hAnsi="Calibri" w:cs="Calibri" w:asciiTheme="majorHAnsi" w:cstheme="majorHAnsi" w:hAnsiTheme="majorHAnsi"/>
          <w:bCs/>
          <w:color w:val="000000" w:themeColor="text1"/>
          <w:sz w:val="20"/>
          <w:szCs w:val="20"/>
        </w:rPr>
      </w:pPr>
      <w:bookmarkStart w:id="8" w:name="_Toc125014727"/>
      <w:r>
        <w:rPr>
          <w:rFonts w:cs="Calibri" w:ascii="Calibri" w:hAnsi="Calibri" w:asciiTheme="majorHAnsi" w:cstheme="majorHAnsi" w:hAnsiTheme="majorHAnsi"/>
          <w:bCs/>
          <w:color w:val="000000" w:themeColor="text1"/>
          <w:sz w:val="20"/>
          <w:szCs w:val="20"/>
        </w:rPr>
        <w:t>Diversity Committee Report – Maria Davila</w:t>
      </w:r>
      <w:bookmarkEnd w:id="8"/>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Report is in HOD materials.   </w:t>
      </w:r>
    </w:p>
    <w:p>
      <w:pPr>
        <w:pStyle w:val="Heading2"/>
        <w:rPr>
          <w:rFonts w:ascii="Calibri" w:hAnsi="Calibri" w:cs="Calibri" w:asciiTheme="majorHAnsi" w:cstheme="majorHAnsi" w:hAnsiTheme="majorHAnsi"/>
          <w:bCs/>
          <w:sz w:val="20"/>
          <w:szCs w:val="20"/>
        </w:rPr>
      </w:pPr>
      <w:bookmarkStart w:id="9" w:name="_Toc125014728"/>
      <w:r>
        <w:rPr>
          <w:rFonts w:cs="Calibri" w:ascii="Calibri" w:hAnsi="Calibri" w:asciiTheme="majorHAnsi" w:cstheme="majorHAnsi" w:hAnsiTheme="majorHAnsi"/>
          <w:bCs/>
          <w:sz w:val="20"/>
          <w:szCs w:val="20"/>
        </w:rPr>
        <w:t>Administrative Vice Chair – Keith Clements</w:t>
      </w:r>
      <w:bookmarkEnd w:id="9"/>
      <w:r>
        <w:rPr>
          <w:rFonts w:cs="Calibri" w:ascii="Calibri" w:hAnsi="Calibri" w:asciiTheme="majorHAnsi" w:cstheme="majorHAnsi" w:hAnsiTheme="majorHAnsi"/>
          <w:bCs/>
          <w:sz w:val="20"/>
          <w:szCs w:val="20"/>
        </w:rPr>
        <w:t xml:space="preserve"> </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An agreement to a contract with SBA could not be reached and they are no longer providing timing equipment and services to the LSC after MRA meet on October 7&amp;8.   Teams are stepping up to manage this and changes will be ongoing.    </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No changes in meet fees to our families to our families have been made and teams are now receiving a much larger percentage of meet fees to cover additional costs.  </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The new board will continue to be involved in what happens next.   </w:t>
      </w:r>
    </w:p>
    <w:p>
      <w:pPr>
        <w:pStyle w:val="Heading2"/>
        <w:rPr>
          <w:rFonts w:ascii="Calibri" w:hAnsi="Calibri" w:cs="Calibri" w:asciiTheme="majorHAnsi" w:cstheme="majorHAnsi" w:hAnsiTheme="majorHAnsi"/>
          <w:sz w:val="20"/>
          <w:szCs w:val="20"/>
        </w:rPr>
      </w:pPr>
      <w:bookmarkStart w:id="10" w:name="_Toc125014729"/>
      <w:r>
        <w:rPr>
          <w:rFonts w:cs="Calibri" w:ascii="Calibri" w:hAnsi="Calibri" w:asciiTheme="majorHAnsi" w:cstheme="majorHAnsi" w:hAnsiTheme="majorHAnsi"/>
          <w:bCs/>
          <w:sz w:val="20"/>
          <w:szCs w:val="20"/>
        </w:rPr>
        <w:t>Safe Sport Report – Melissa Eisenhamer</w:t>
      </w:r>
      <w:bookmarkEnd w:id="10"/>
      <w:r>
        <w:rPr>
          <w:rFonts w:cs="Calibri" w:ascii="Calibri" w:hAnsi="Calibri" w:asciiTheme="majorHAnsi" w:cstheme="majorHAnsi" w:hAnsiTheme="majorHAnsi"/>
          <w:bCs/>
          <w:sz w:val="20"/>
          <w:szCs w:val="20"/>
        </w:rPr>
        <w:t xml:space="preserve"> </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Hello!</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I just wanted to say goodbye as this is the end of my second term as Safe Sport Chair.  I wanted to say thank you to everyone on the board during my four years.  I have learned a lot about what goes into the sport of swimming and what it takes to run a club and swim meets.</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I learned about Safe Sport itself and how education is very important.  After the COVID blip we had to learn much more about mental health especially with all the changes in schools and youth sports.  </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I want to thank everyone that came up to me to ask questions.  I had some good conversations.  </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To the person taking my position, I wish you fun, luck and joy.  I will be around if you need me.</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Thank you all and have a wonderful holiday season.</w:t>
      </w:r>
    </w:p>
    <w:p>
      <w:pPr>
        <w:pStyle w:val="Normal"/>
        <w:rPr/>
      </w:pPr>
      <w:r>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Mel :-)</w:t>
      </w:r>
    </w:p>
    <w:p>
      <w:pPr>
        <w:pStyle w:val="Heading3"/>
        <w:rPr>
          <w:rFonts w:ascii="Calibri" w:hAnsi="Calibri" w:cs="Calibri" w:asciiTheme="majorHAnsi" w:cstheme="majorHAnsi" w:hAnsiTheme="majorHAnsi"/>
          <w:b/>
          <w:b/>
          <w:sz w:val="20"/>
          <w:szCs w:val="20"/>
        </w:rPr>
      </w:pPr>
      <w:bookmarkStart w:id="11" w:name="_Toc125014730"/>
      <w:r>
        <w:rPr>
          <w:rFonts w:cs="Calibri" w:ascii="Calibri" w:hAnsi="Calibri" w:asciiTheme="majorHAnsi" w:cstheme="majorHAnsi" w:hAnsiTheme="majorHAnsi"/>
          <w:sz w:val="20"/>
          <w:szCs w:val="20"/>
        </w:rPr>
        <w:t>Officials Committee Report – Bob Horne</w:t>
      </w:r>
      <w:bookmarkEnd w:id="11"/>
      <w:r>
        <w:rPr>
          <w:rFonts w:cs="Calibri" w:ascii="Calibri" w:hAnsi="Calibri" w:asciiTheme="majorHAnsi" w:cstheme="majorHAnsi" w:hAnsiTheme="majorHAnsi"/>
          <w:sz w:val="20"/>
          <w:szCs w:val="20"/>
        </w:rPr>
        <w:t xml:space="preserve"> </w:t>
      </w:r>
      <w:r>
        <w:rPr>
          <w:rFonts w:cs="Calibri" w:ascii="Calibri" w:hAnsi="Calibri" w:asciiTheme="majorHAnsi" w:cstheme="majorHAnsi" w:hAnsiTheme="majorHAnsi"/>
          <w:b/>
          <w:sz w:val="20"/>
          <w:szCs w:val="20"/>
        </w:rPr>
        <w:t> </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No report</w:t>
      </w:r>
    </w:p>
    <w:p>
      <w:pPr>
        <w:pStyle w:val="Heading3"/>
        <w:rPr>
          <w:rFonts w:ascii="Calibri" w:hAnsi="Calibri" w:cs="Calibri" w:asciiTheme="majorHAnsi" w:cstheme="majorHAnsi" w:hAnsiTheme="majorHAnsi"/>
          <w:b/>
          <w:b/>
          <w:sz w:val="20"/>
          <w:szCs w:val="20"/>
        </w:rPr>
      </w:pPr>
      <w:bookmarkStart w:id="12" w:name="_Toc125014731"/>
      <w:r>
        <w:rPr>
          <w:rFonts w:cs="Calibri" w:ascii="Calibri" w:hAnsi="Calibri" w:asciiTheme="majorHAnsi" w:cstheme="majorHAnsi" w:hAnsiTheme="majorHAnsi"/>
          <w:sz w:val="20"/>
          <w:szCs w:val="20"/>
        </w:rPr>
        <w:t xml:space="preserve">Equipment Report – </w:t>
      </w:r>
      <w:bookmarkEnd w:id="12"/>
      <w:r>
        <w:rPr>
          <w:rFonts w:cs="Calibri" w:ascii="Calibri" w:hAnsi="Calibri" w:asciiTheme="majorHAnsi" w:cstheme="majorHAnsi" w:hAnsiTheme="majorHAnsi"/>
          <w:sz w:val="20"/>
          <w:szCs w:val="20"/>
        </w:rPr>
        <w:t xml:space="preserve"> TBD</w:t>
      </w:r>
    </w:p>
    <w:p>
      <w:pPr>
        <w:pStyle w:val="Normal"/>
        <w:rPr>
          <w:rFonts w:ascii="Calibri" w:hAnsi="Calibri" w:cs="Calibri" w:asciiTheme="majorHAnsi" w:cstheme="majorHAnsi" w:hAnsiTheme="majorHAnsi"/>
          <w:sz w:val="20"/>
          <w:szCs w:val="20"/>
        </w:rPr>
      </w:pPr>
      <w:bookmarkStart w:id="13" w:name="_heading=h.2et92p0"/>
      <w:bookmarkEnd w:id="13"/>
      <w:r>
        <w:rPr>
          <w:rFonts w:cs="Calibri" w:ascii="Calibri" w:hAnsi="Calibri" w:asciiTheme="majorHAnsi" w:cstheme="majorHAnsi" w:hAnsiTheme="majorHAnsi"/>
          <w:sz w:val="20"/>
          <w:szCs w:val="20"/>
        </w:rPr>
        <w:t>No report</w:t>
      </w:r>
    </w:p>
    <w:p>
      <w:pPr>
        <w:pStyle w:val="Heading3"/>
        <w:rPr>
          <w:rFonts w:ascii="Calibri" w:hAnsi="Calibri" w:cs="Calibri" w:asciiTheme="majorHAnsi" w:cstheme="majorHAnsi" w:hAnsiTheme="majorHAnsi"/>
          <w:sz w:val="20"/>
          <w:szCs w:val="20"/>
        </w:rPr>
      </w:pPr>
      <w:bookmarkStart w:id="14" w:name="_Toc125014732"/>
      <w:bookmarkStart w:id="15" w:name="_heading=h.v4tjf0k80tqr"/>
      <w:bookmarkEnd w:id="15"/>
      <w:r>
        <w:rPr>
          <w:rFonts w:cs="Calibri" w:ascii="Calibri" w:hAnsi="Calibri" w:asciiTheme="majorHAnsi" w:cstheme="majorHAnsi" w:hAnsiTheme="majorHAnsi"/>
          <w:sz w:val="20"/>
          <w:szCs w:val="20"/>
        </w:rPr>
        <w:t>Operational Risk Report – Carlos Davila</w:t>
      </w:r>
      <w:bookmarkEnd w:id="14"/>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No report</w:t>
      </w:r>
    </w:p>
    <w:p>
      <w:pPr>
        <w:pStyle w:val="Heading2"/>
        <w:rPr>
          <w:rFonts w:ascii="Calibri" w:hAnsi="Calibri" w:cs="Calibri" w:asciiTheme="majorHAnsi" w:cstheme="majorHAnsi" w:hAnsiTheme="majorHAnsi"/>
          <w:bCs/>
          <w:sz w:val="20"/>
          <w:szCs w:val="20"/>
        </w:rPr>
      </w:pPr>
      <w:bookmarkStart w:id="16" w:name="_Toc125014733"/>
      <w:r>
        <w:rPr>
          <w:rFonts w:cs="Calibri" w:ascii="Calibri" w:hAnsi="Calibri" w:asciiTheme="majorHAnsi" w:cstheme="majorHAnsi" w:hAnsiTheme="majorHAnsi"/>
          <w:bCs/>
          <w:sz w:val="20"/>
          <w:szCs w:val="20"/>
        </w:rPr>
        <w:t>Technical Planning Vice Chair – Paul Mazzarelle</w:t>
      </w:r>
      <w:bookmarkEnd w:id="16"/>
      <w:r>
        <w:rPr>
          <w:rFonts w:cs="Calibri" w:ascii="Calibri" w:hAnsi="Calibri" w:asciiTheme="majorHAnsi" w:cstheme="majorHAnsi" w:hAnsiTheme="majorHAnsi"/>
          <w:bCs/>
          <w:sz w:val="20"/>
          <w:szCs w:val="20"/>
        </w:rPr>
        <w:t xml:space="preserve">  </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Approval Request for increase of swimmer fee to $25 for Senior Classic</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(as a Board, we need to recognize that in 2025 the Western Zone Short Course Championship will be held at the same time in Irvine and to keep our participation high do need to have a high quality meet that is similar in standards to the senior showcase meets in Socal).</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Detailed analysis from CSTE</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tbl>
      <w:tblPr>
        <w:tblW w:w="9943" w:type="dxa"/>
        <w:jc w:val="left"/>
        <w:tblInd w:w="0" w:type="dxa"/>
        <w:tblLayout w:type="fixed"/>
        <w:tblCellMar>
          <w:top w:w="30" w:type="dxa"/>
          <w:left w:w="45" w:type="dxa"/>
          <w:bottom w:w="30" w:type="dxa"/>
          <w:right w:w="45" w:type="dxa"/>
        </w:tblCellMar>
        <w:tblLook w:firstRow="1" w:noVBand="1" w:lastRow="0" w:firstColumn="1" w:lastColumn="0" w:noHBand="0" w:val="04a0"/>
      </w:tblPr>
      <w:tblGrid>
        <w:gridCol w:w="4813"/>
        <w:gridCol w:w="1091"/>
        <w:gridCol w:w="977"/>
        <w:gridCol w:w="1400"/>
        <w:gridCol w:w="1662"/>
      </w:tblGrid>
      <w:tr>
        <w:trPr>
          <w:trHeight w:val="283" w:hRule="atLeast"/>
        </w:trPr>
        <w:tc>
          <w:tcPr>
            <w:tcW w:w="9943" w:type="dxa"/>
            <w:gridSpan w:val="5"/>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b/>
                <w:b/>
                <w:bCs/>
                <w:sz w:val="28"/>
                <w:szCs w:val="28"/>
                <w:lang w:val="en-US"/>
              </w:rPr>
            </w:pPr>
            <w:r>
              <w:rPr>
                <w:rFonts w:eastAsia="Times New Roman"/>
                <w:b/>
                <w:bCs/>
                <w:sz w:val="28"/>
                <w:szCs w:val="28"/>
                <w:lang w:val="en-US"/>
              </w:rPr>
              <w:t>Senior Classic Financial Projections</w:t>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b/>
                <w:b/>
                <w:bCs/>
                <w:sz w:val="20"/>
                <w:szCs w:val="20"/>
                <w:lang w:val="en-US"/>
              </w:rPr>
            </w:pPr>
            <w:r>
              <w:rPr>
                <w:rFonts w:eastAsia="Times New Roman"/>
                <w:b/>
                <w:bCs/>
                <w:sz w:val="20"/>
                <w:szCs w:val="20"/>
                <w:lang w:val="en-US"/>
              </w:rPr>
              <w:t>Estimated Athletes:</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sz w:val="20"/>
                <w:szCs w:val="20"/>
                <w:lang w:val="en-US"/>
              </w:rPr>
            </w:pPr>
            <w:r>
              <w:rPr>
                <w:rFonts w:eastAsia="Times New Roman"/>
                <w:sz w:val="20"/>
                <w:szCs w:val="20"/>
                <w:lang w:val="en-US"/>
              </w:rPr>
              <w:t>650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b/>
                <w:b/>
                <w:bCs/>
                <w:sz w:val="20"/>
                <w:szCs w:val="20"/>
                <w:lang w:val="en-US"/>
              </w:rPr>
            </w:pPr>
            <w:r>
              <w:rPr>
                <w:rFonts w:eastAsia="Times New Roman"/>
                <w:b/>
                <w:bCs/>
                <w:sz w:val="20"/>
                <w:szCs w:val="20"/>
                <w:lang w:val="en-US"/>
              </w:rPr>
              <w:t>SI Approved Entry Fees:</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sz w:val="20"/>
                <w:szCs w:val="20"/>
                <w:lang w:val="en-US"/>
              </w:rPr>
            </w:pPr>
            <w:r>
              <w:rPr>
                <w:rFonts w:eastAsia="Times New Roman"/>
                <w:sz w:val="20"/>
                <w:szCs w:val="20"/>
                <w:lang w:val="en-US"/>
              </w:rPr>
              <w:t>$9</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b/>
                <w:b/>
                <w:bCs/>
                <w:sz w:val="20"/>
                <w:szCs w:val="20"/>
                <w:lang w:val="en-US"/>
              </w:rPr>
            </w:pPr>
            <w:r>
              <w:rPr>
                <w:rFonts w:eastAsia="Times New Roman"/>
                <w:b/>
                <w:bCs/>
                <w:sz w:val="20"/>
                <w:szCs w:val="20"/>
                <w:lang w:val="en-US"/>
              </w:rPr>
              <w:t>SI Approved Relay Fees:</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sz w:val="20"/>
                <w:szCs w:val="20"/>
                <w:lang w:val="en-US"/>
              </w:rPr>
            </w:pPr>
            <w:r>
              <w:rPr>
                <w:rFonts w:eastAsia="Times New Roman"/>
                <w:sz w:val="20"/>
                <w:szCs w:val="20"/>
                <w:lang w:val="en-US"/>
              </w:rPr>
              <w:t>$20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b/>
                <w:b/>
                <w:bCs/>
                <w:sz w:val="20"/>
                <w:szCs w:val="20"/>
                <w:lang w:val="en-US"/>
              </w:rPr>
            </w:pPr>
            <w:r>
              <w:rPr>
                <w:rFonts w:eastAsia="Times New Roman"/>
                <w:b/>
                <w:bCs/>
                <w:sz w:val="20"/>
                <w:szCs w:val="20"/>
                <w:lang w:val="en-US"/>
              </w:rPr>
              <w:t>SI Approved Surchage</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sz w:val="20"/>
                <w:szCs w:val="20"/>
                <w:lang w:val="en-US"/>
              </w:rPr>
            </w:pPr>
            <w:r>
              <w:rPr>
                <w:rFonts w:eastAsia="Times New Roman"/>
                <w:sz w:val="20"/>
                <w:szCs w:val="20"/>
                <w:lang w:val="en-US"/>
              </w:rPr>
              <w:t>$10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$25</w:t>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exac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b/>
                <w:b/>
                <w:bCs/>
                <w:sz w:val="20"/>
                <w:szCs w:val="20"/>
                <w:lang w:val="en-US"/>
              </w:rPr>
            </w:pPr>
            <w:r>
              <w:rPr>
                <w:rFonts w:eastAsia="Times New Roman"/>
                <w:b/>
                <w:bCs/>
                <w:sz w:val="20"/>
                <w:szCs w:val="20"/>
                <w:lang w:val="en-US"/>
              </w:rPr>
              <w:t>Revenue</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sz w:val="20"/>
                <w:szCs w:val="20"/>
                <w:lang w:val="en-US"/>
              </w:rPr>
            </w:pPr>
            <w:r>
              <w:rPr>
                <w:rFonts w:eastAsia="Times New Roman"/>
                <w:sz w:val="20"/>
                <w:szCs w:val="20"/>
                <w:lang w:val="en-US"/>
              </w:rPr>
              <w:t xml:space="preserve">Combined </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sz w:val="20"/>
                <w:szCs w:val="20"/>
                <w:lang w:val="en-US"/>
              </w:rPr>
            </w:pPr>
            <w:r>
              <w:rPr>
                <w:rFonts w:eastAsia="Times New Roman"/>
                <w:sz w:val="20"/>
                <w:szCs w:val="20"/>
                <w:lang w:val="en-US"/>
              </w:rPr>
              <w:t>SI</w:t>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sz w:val="20"/>
                <w:szCs w:val="20"/>
                <w:lang w:val="en-US"/>
              </w:rPr>
            </w:pPr>
            <w:r>
              <w:rPr>
                <w:rFonts w:eastAsia="Times New Roman"/>
                <w:sz w:val="20"/>
                <w:szCs w:val="20"/>
                <w:lang w:val="en-US"/>
              </w:rPr>
              <w:t>CSTE (Current)</w:t>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eastAsia="Times New Roman"/>
                <w:sz w:val="20"/>
                <w:szCs w:val="20"/>
                <w:lang w:val="en-US"/>
              </w:rPr>
            </w:pPr>
            <w:r>
              <w:rPr>
                <w:rFonts w:eastAsia="Times New Roman"/>
                <w:sz w:val="20"/>
                <w:szCs w:val="20"/>
                <w:lang w:val="en-US"/>
              </w:rPr>
              <w:t>CSTE (Requested)</w:t>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Surcharge</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$6,500.00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$0.00</w:t>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$6,500.00</w:t>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$16,250.00</w:t>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Individual Entries (~6 event / swimmer)</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$35,100.00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$8,400.00</w:t>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$26,700.00</w:t>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$26,700.00</w:t>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Relay Entries (24 relays per event)</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$4,800.00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$1,200.00</w:t>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$3,600.00</w:t>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$3,600.00</w:t>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Concessions ($750/ day)</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$2,625.00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$0.00</w:t>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$2,625.00</w:t>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$2,625.00</w:t>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$49,025.00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$9,600.00</w:t>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$39,425.00</w:t>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$49,175.00</w:t>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b/>
                <w:b/>
                <w:bCs/>
                <w:sz w:val="20"/>
                <w:szCs w:val="20"/>
                <w:lang w:val="en-US"/>
              </w:rPr>
            </w:pPr>
            <w:r>
              <w:rPr>
                <w:rFonts w:eastAsia="Times New Roman"/>
                <w:b/>
                <w:bCs/>
                <w:sz w:val="20"/>
                <w:szCs w:val="20"/>
                <w:lang w:val="en-US"/>
              </w:rPr>
              <w:t xml:space="preserve">Expenses </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center"/>
              <w:rPr>
                <w:rFonts w:eastAsia="Times New Roman"/>
                <w:b/>
                <w:b/>
                <w:bCs/>
                <w:sz w:val="20"/>
                <w:szCs w:val="20"/>
                <w:lang w:val="en-US"/>
              </w:rPr>
            </w:pPr>
            <w:r>
              <w:rPr>
                <w:rFonts w:eastAsia="Times New Roman"/>
                <w:b/>
                <w:bCs/>
                <w:sz w:val="20"/>
                <w:szCs w:val="20"/>
                <w:lang w:val="en-US"/>
              </w:rPr>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Pool Rental</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$15,400.00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Awards</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$550.00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Capital Equipment (might be able to reduce)</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$3,400.00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Tent / Equipment Rental (Weather Mitigation for Athlete/Admin)</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$6,000.00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Porta-Potties (SafeSport / Spectator Support)</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$1,500.00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Hospitality ($1500/day)</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$5,250.00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b/>
                <w:b/>
                <w:bCs/>
                <w:sz w:val="20"/>
                <w:szCs w:val="20"/>
                <w:lang w:val="en-US"/>
              </w:rPr>
            </w:pPr>
            <w:r>
              <w:rPr>
                <w:rFonts w:eastAsia="Times New Roman"/>
                <w:b/>
                <w:bCs/>
                <w:sz w:val="20"/>
                <w:szCs w:val="20"/>
                <w:lang w:val="en-US"/>
              </w:rPr>
              <w:t>Expense Total</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b/>
                <w:b/>
                <w:bCs/>
                <w:sz w:val="20"/>
                <w:szCs w:val="20"/>
                <w:lang w:val="en-US"/>
              </w:rPr>
            </w:pPr>
            <w:r>
              <w:rPr>
                <w:rFonts w:eastAsia="Times New Roman"/>
                <w:b/>
                <w:bCs/>
                <w:sz w:val="20"/>
                <w:szCs w:val="20"/>
                <w:lang w:val="en-US"/>
              </w:rPr>
              <w:t>$32,100.00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b/>
                <w:b/>
                <w:bCs/>
                <w:sz w:val="20"/>
                <w:szCs w:val="20"/>
                <w:lang w:val="en-US"/>
              </w:rPr>
            </w:pPr>
            <w:r>
              <w:rPr>
                <w:rFonts w:eastAsia="Times New Roman"/>
                <w:b/>
                <w:bCs/>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exac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CSTE Net (Current)</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$7,325.00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r>
        <w:trPr>
          <w:trHeight w:val="283" w:hRule="atLeast"/>
        </w:trPr>
        <w:tc>
          <w:tcPr>
            <w:tcW w:w="4813"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CSTE (New Surcharge)</w:t>
            </w:r>
          </w:p>
        </w:tc>
        <w:tc>
          <w:tcPr>
            <w:tcW w:w="1091"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t>$17,075.00</w:t>
            </w:r>
          </w:p>
        </w:tc>
        <w:tc>
          <w:tcPr>
            <w:tcW w:w="977"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jc w:val="right"/>
              <w:rPr>
                <w:rFonts w:eastAsia="Times New Roman"/>
                <w:sz w:val="20"/>
                <w:szCs w:val="20"/>
                <w:lang w:val="en-US"/>
              </w:rPr>
            </w:pPr>
            <w:r>
              <w:rPr>
                <w:rFonts w:eastAsia="Times New Roman"/>
                <w:sz w:val="20"/>
                <w:szCs w:val="20"/>
                <w:lang w:val="en-US"/>
              </w:rPr>
            </w:r>
          </w:p>
        </w:tc>
        <w:tc>
          <w:tcPr>
            <w:tcW w:w="1400"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1662" w:type="dxa"/>
            <w:tcBorders>
              <w:top w:val="single" w:sz="6" w:space="0" w:color="CCCCCC"/>
              <w:left w:val="single" w:sz="6" w:space="0" w:color="CCCCCC"/>
              <w:bottom w:val="single" w:sz="6" w:space="0" w:color="CCCCCC"/>
              <w:right w:val="single" w:sz="6" w:space="0" w:color="CCCCCC"/>
            </w:tcBorders>
            <w:vAlign w:val="bottom"/>
          </w:tcPr>
          <w:p>
            <w:pPr>
              <w:pStyle w:val="Normal"/>
              <w:widowControl w:val="false"/>
              <w:spacing w:lineRule="auto" w:line="24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r>
    </w:tbl>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highlight w:val="yellow"/>
        </w:rPr>
        <w:t>M/S/P  Surcharge increased from $10 to $25.  Some concerns expressed as to how this can effect LSC Championship meets in the future.</w:t>
      </w:r>
      <w:r>
        <w:rPr>
          <w:rFonts w:cs="Calibri" w:ascii="Calibri" w:hAnsi="Calibri" w:asciiTheme="majorHAnsi" w:cstheme="majorHAnsi" w:hAnsiTheme="majorHAnsi"/>
          <w:sz w:val="20"/>
          <w:szCs w:val="20"/>
        </w:rPr>
        <w:t xml:space="preserve"> </w:t>
      </w:r>
    </w:p>
    <w:p>
      <w:pPr>
        <w:pStyle w:val="Heading2"/>
        <w:rPr>
          <w:rFonts w:ascii="Calibri" w:hAnsi="Calibri" w:cs="Calibri" w:asciiTheme="majorHAnsi" w:cstheme="majorHAnsi" w:hAnsiTheme="majorHAnsi"/>
          <w:bCs/>
          <w:sz w:val="20"/>
          <w:szCs w:val="20"/>
        </w:rPr>
      </w:pPr>
      <w:bookmarkStart w:id="17" w:name="_Toc125014734"/>
      <w:r>
        <w:rPr>
          <w:rFonts w:cs="Calibri" w:ascii="Calibri" w:hAnsi="Calibri" w:asciiTheme="majorHAnsi" w:cstheme="majorHAnsi" w:hAnsiTheme="majorHAnsi"/>
          <w:bCs/>
          <w:sz w:val="20"/>
          <w:szCs w:val="20"/>
        </w:rPr>
        <w:t>Senior Chair – Dave Kilmer –</w:t>
      </w:r>
      <w:bookmarkEnd w:id="17"/>
      <w:r>
        <w:rPr>
          <w:rFonts w:cs="Calibri" w:ascii="Calibri" w:hAnsi="Calibri" w:asciiTheme="majorHAnsi" w:cstheme="majorHAnsi" w:hAnsiTheme="majorHAnsi"/>
          <w:bCs/>
          <w:sz w:val="20"/>
          <w:szCs w:val="20"/>
        </w:rPr>
        <w:t xml:space="preserve"> </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Current WAG Revenue / Cost Budget:  </w:t>
      </w:r>
    </w:p>
    <w:tbl>
      <w:tblPr>
        <w:tblW w:w="32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3"/>
        <w:gridCol w:w="1126"/>
      </w:tblGrid>
      <w:tr>
        <w:trPr>
          <w:trHeight w:val="288" w:hRule="atLeast"/>
        </w:trPr>
        <w:tc>
          <w:tcPr>
            <w:tcW w:w="2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b/>
                <w:b/>
                <w:bCs/>
                <w:color w:val="000000"/>
                <w:sz w:val="20"/>
                <w:szCs w:val="20"/>
                <w:lang w:val="en-US"/>
              </w:rPr>
            </w:pPr>
            <w:r>
              <w:rPr>
                <w:rFonts w:eastAsia="Times New Roman" w:cs="Calibri" w:ascii="Calibri" w:hAnsi="Calibri"/>
                <w:b/>
                <w:bCs/>
                <w:color w:val="000000"/>
                <w:sz w:val="20"/>
                <w:szCs w:val="20"/>
                <w:lang w:val="en-US"/>
              </w:rPr>
              <w:t>ESTIMATED INCOME</w:t>
            </w:r>
          </w:p>
        </w:tc>
        <w:tc>
          <w:tcPr>
            <w:tcW w:w="1126"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$54,453.00</w:t>
            </w:r>
          </w:p>
        </w:tc>
      </w:tr>
      <w:tr>
        <w:trPr>
          <w:trHeight w:val="28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 </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 </w:t>
            </w:r>
          </w:p>
        </w:tc>
      </w:tr>
      <w:tr>
        <w:trPr>
          <w:trHeight w:val="28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 </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 </w:t>
            </w:r>
          </w:p>
        </w:tc>
      </w:tr>
      <w:tr>
        <w:trPr>
          <w:trHeight w:val="28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 </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 </w:t>
            </w:r>
          </w:p>
        </w:tc>
      </w:tr>
      <w:tr>
        <w:trPr>
          <w:trHeight w:val="28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 </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 </w:t>
            </w:r>
          </w:p>
        </w:tc>
      </w:tr>
      <w:tr>
        <w:trPr>
          <w:trHeight w:val="576"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b/>
                <w:b/>
                <w:bCs/>
                <w:color w:val="000000"/>
                <w:sz w:val="20"/>
                <w:szCs w:val="20"/>
                <w:lang w:val="en-US"/>
              </w:rPr>
            </w:pPr>
            <w:r>
              <w:rPr>
                <w:rFonts w:eastAsia="Times New Roman" w:cs="Calibri" w:ascii="Calibri" w:hAnsi="Calibri"/>
                <w:b/>
                <w:bCs/>
                <w:color w:val="000000"/>
                <w:sz w:val="20"/>
                <w:szCs w:val="20"/>
                <w:lang w:val="en-US"/>
              </w:rPr>
              <w:t>ESTIMATED EXPENSES</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 </w:t>
            </w:r>
          </w:p>
        </w:tc>
      </w:tr>
      <w:tr>
        <w:trPr>
          <w:trHeight w:val="28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AWARDS</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$2,939.00</w:t>
            </w:r>
          </w:p>
        </w:tc>
      </w:tr>
      <w:tr>
        <w:trPr>
          <w:trHeight w:val="28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FACILITY</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$22,000.00</w:t>
            </w:r>
          </w:p>
        </w:tc>
      </w:tr>
      <w:tr>
        <w:trPr>
          <w:trHeight w:val="52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TIMING EQUIPMENT 1/PRELIMS &amp; FINALS</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TBD</w:t>
            </w:r>
          </w:p>
        </w:tc>
      </w:tr>
      <w:tr>
        <w:trPr>
          <w:trHeight w:val="52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TIMING EQUIPMENT 2/PRELIMS</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TBD</w:t>
            </w:r>
          </w:p>
        </w:tc>
      </w:tr>
      <w:tr>
        <w:trPr>
          <w:trHeight w:val="28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BAG TAGS</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$1,400.00</w:t>
            </w:r>
          </w:p>
        </w:tc>
      </w:tr>
      <w:tr>
        <w:trPr>
          <w:trHeight w:val="28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HOSPITALITY</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$2,000.00</w:t>
            </w:r>
          </w:p>
        </w:tc>
      </w:tr>
      <w:tr>
        <w:trPr>
          <w:trHeight w:val="28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OFFICE SUPPLIES</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$250.00</w:t>
            </w:r>
          </w:p>
        </w:tc>
      </w:tr>
      <w:tr>
        <w:trPr>
          <w:trHeight w:val="576"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MEET OPERATOR 1/PRELIMS &amp; FINALS</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$1,000.00</w:t>
            </w:r>
          </w:p>
        </w:tc>
      </w:tr>
      <w:tr>
        <w:trPr>
          <w:trHeight w:val="576"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MEET OPERATOR 2/PRELIMS</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$350.00</w:t>
            </w:r>
          </w:p>
        </w:tc>
      </w:tr>
      <w:tr>
        <w:trPr>
          <w:trHeight w:val="288" w:hRule="atLeast"/>
        </w:trPr>
        <w:tc>
          <w:tcPr>
            <w:tcW w:w="2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GAS STIPENDS</w:t>
            </w:r>
          </w:p>
        </w:tc>
        <w:tc>
          <w:tcPr>
            <w:tcW w:w="1126" w:type="dxa"/>
            <w:tcBorders>
              <w:bottom w:val="single" w:sz="4" w:space="0" w:color="000000"/>
              <w:right w:val="single" w:sz="4" w:space="0" w:color="000000"/>
            </w:tcBorders>
            <w:shd w:color="auto" w:fill="auto" w:val="clear"/>
            <w:vAlign w:val="bottom"/>
          </w:tcPr>
          <w:p>
            <w:pPr>
              <w:pStyle w:val="Normal"/>
              <w:widowControl w:val="false"/>
              <w:spacing w:lineRule="auto" w:line="240"/>
              <w:jc w:val="right"/>
              <w:rPr>
                <w:rFonts w:ascii="Calibri" w:hAnsi="Calibri" w:eastAsia="Times New Roman" w:cs="Calibri"/>
                <w:color w:val="000000"/>
                <w:sz w:val="20"/>
                <w:szCs w:val="20"/>
                <w:lang w:val="en-US"/>
              </w:rPr>
            </w:pPr>
            <w:r>
              <w:rPr>
                <w:rFonts w:eastAsia="Times New Roman" w:cs="Calibri" w:ascii="Calibri" w:hAnsi="Calibri"/>
                <w:color w:val="000000"/>
                <w:sz w:val="20"/>
                <w:szCs w:val="20"/>
                <w:lang w:val="en-US"/>
              </w:rPr>
              <w:t>$300.00</w:t>
            </w:r>
          </w:p>
        </w:tc>
      </w:tr>
    </w:tbl>
    <w:p>
      <w:pPr>
        <w:pStyle w:val="Normal"/>
        <w:rPr>
          <w:rFonts w:cs="Calibri" w:cstheme="majorHAnsi"/>
          <w:shd w:fill="FFFF00" w:val="clear"/>
        </w:rPr>
      </w:pPr>
      <w:r>
        <w:rPr>
          <w:rFonts w:cs="Calibri" w:ascii="Calibri" w:hAnsi="Calibri" w:cstheme="majorHAnsi"/>
          <w:sz w:val="20"/>
          <w:szCs w:val="20"/>
          <w:shd w:fill="FFFF00" w:val="clear"/>
        </w:rPr>
        <w:t xml:space="preserve">Backstroke wedges </w:t>
        <w:tab/>
        <w:t xml:space="preserve">     $350</w:t>
      </w:r>
    </w:p>
    <w:p>
      <w:pPr>
        <w:pStyle w:val="Normal"/>
        <w:rPr>
          <w:rFonts w:cs="Calibri" w:cstheme="majorHAnsi"/>
          <w:shd w:fill="FFFF00" w:val="clear"/>
        </w:rPr>
      </w:pPr>
      <w:r>
        <w:rPr>
          <w:rFonts w:cs="Calibri" w:ascii="Calibri" w:hAnsi="Calibri" w:cstheme="majorHAnsi"/>
          <w:sz w:val="20"/>
          <w:szCs w:val="20"/>
          <w:shd w:fill="FFFF00" w:val="clear"/>
        </w:rPr>
        <w:t>transportation of lsc equip     $500</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  </w:t>
      </w:r>
    </w:p>
    <w:p>
      <w:pPr>
        <w:pStyle w:val="Heading2"/>
        <w:rPr>
          <w:rFonts w:ascii="Calibri" w:hAnsi="Calibri" w:cs="Calibri" w:asciiTheme="majorHAnsi" w:cstheme="majorHAnsi" w:hAnsiTheme="majorHAnsi"/>
          <w:bCs/>
          <w:sz w:val="20"/>
          <w:szCs w:val="20"/>
        </w:rPr>
      </w:pPr>
      <w:bookmarkStart w:id="18" w:name="_Toc125014735"/>
      <w:r>
        <w:rPr>
          <w:rFonts w:cs="Calibri" w:ascii="Calibri" w:hAnsi="Calibri" w:asciiTheme="majorHAnsi" w:cstheme="majorHAnsi" w:hAnsiTheme="majorHAnsi"/>
          <w:bCs/>
          <w:sz w:val="20"/>
          <w:szCs w:val="20"/>
        </w:rPr>
        <w:t>Age Group Vice Chair – Sean Redmond</w:t>
      </w:r>
      <w:bookmarkEnd w:id="18"/>
      <w:r>
        <w:rPr>
          <w:rFonts w:cs="Calibri" w:ascii="Calibri" w:hAnsi="Calibri" w:asciiTheme="majorHAnsi" w:cstheme="majorHAnsi" w:hAnsiTheme="majorHAnsi"/>
          <w:bCs/>
          <w:sz w:val="20"/>
          <w:szCs w:val="20"/>
        </w:rPr>
        <w:t xml:space="preserve">  </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San Diego Imperial Swimming Age Group Report – November 2023</w:t>
      </w:r>
    </w:p>
    <w:p>
      <w:pPr>
        <w:pStyle w:val="Normal"/>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The SI vs AZ swimming All-Star meet will be on January 6-7, 2024, at Granite Hills High School. </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There are 7 coaches who expressed an interest in being on the staff:</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Anhton Tran</w:t>
        <w:tab/>
        <w:tab/>
        <w:t>Ohj Nobles</w:t>
        <w:tab/>
        <w:tab/>
        <w:t>Addison Seale</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Neily Esposito</w:t>
        <w:tab/>
        <w:tab/>
        <w:t>Kevn Chester</w:t>
        <w:tab/>
        <w:tab/>
        <w:t xml:space="preserve">Sergii Kukhnaskyi        </w:t>
      </w:r>
      <w:r>
        <w:rPr>
          <w:rFonts w:cs="Calibri" w:ascii="Calibri" w:hAnsi="Calibri" w:asciiTheme="majorHAnsi" w:cstheme="majorHAnsi" w:hAnsiTheme="majorHAnsi"/>
          <w:sz w:val="20"/>
          <w:szCs w:val="20"/>
          <w:shd w:fill="FFFF00" w:val="clear"/>
        </w:rPr>
        <w:t>DawnElla Stoddard</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We will be having a meeting to determine the final staff and who will be the head coach. We could maybe use one more coach.</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Applications will need to be out to the LSC Teams and website before the WAG meet since this will be their last chance to apply and the team selection will follow the WAG meet.</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It is proposed that the cost to each swimmer be $115; this will cover the cost of their entry and outfitting. Same as last year we will have 8 swimmers per age group and gender and 1 alternate per age group and gender. The alternates will swim exhibition and will not score or swim relays, unless a swimmer is not available to swim.</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The caps will have to be ordered ASAP to ensure that we have them in time for the meet. If not an alternative.</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2024 SI vs AZ All-star meet</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Expenses (approximate)</w:t>
      </w:r>
    </w:p>
    <w:p>
      <w:pPr>
        <w:pStyle w:val="Normal"/>
        <w:ind w:firstLine="72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Pool/restrooms</w:t>
        <w:tab/>
        <w:t>$1,400</w:t>
        <w:tab/>
        <w:t>(4-5 hours per day for warm up and meet)</w:t>
      </w:r>
    </w:p>
    <w:p>
      <w:pPr>
        <w:pStyle w:val="Normal"/>
        <w:ind w:firstLine="72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Lifeguard</w:t>
        <w:tab/>
        <w:t>$200 ($20 per hour)</w:t>
      </w:r>
    </w:p>
    <w:p>
      <w:pPr>
        <w:pStyle w:val="Normal"/>
        <w:ind w:firstLine="72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Timing system</w:t>
        <w:tab/>
        <w:t>$1500 (setup/teardown and about 3 hours/day for meet). This depends on how and who we use for the timing. I am still looking into alternatives. We will be using up to 10 lanes.</w:t>
      </w:r>
      <w:r>
        <w:rPr>
          <w:rFonts w:cs="Calibri" w:ascii="Calibri" w:hAnsi="Calibri" w:asciiTheme="majorHAnsi" w:cstheme="majorHAnsi" w:hAnsiTheme="majorHAnsi"/>
          <w:sz w:val="20"/>
          <w:szCs w:val="20"/>
          <w:shd w:fill="FFFF00" w:val="clear"/>
        </w:rPr>
        <w:t xml:space="preserve"> Scoreboard costs can likely be included within this estimate</w:t>
      </w:r>
    </w:p>
    <w:p>
      <w:pPr>
        <w:pStyle w:val="Normal"/>
        <w:ind w:firstLine="72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Hospitality</w:t>
        <w:tab/>
        <w:t>$250</w:t>
      </w:r>
    </w:p>
    <w:p>
      <w:pPr>
        <w:pStyle w:val="Normal"/>
        <w:ind w:firstLine="72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Subtotal</w:t>
        <w:tab/>
        <w:tab/>
        <w:t>$3350</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SI Swimming Costs</w:t>
      </w:r>
    </w:p>
    <w:p>
      <w:pPr>
        <w:pStyle w:val="Normal"/>
        <w:ind w:firstLine="72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Entry fees (SI) 3426 (for 48 swimmers) + 6 alternates (1 per gender per age group).</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ab/>
        <w:tab/>
        <w:t>10 surcharge per swimmer = $540</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ab/>
        <w:tab/>
        <w:t>36 individual events (6 per splash) = $2646</w:t>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ab/>
        <w:tab/>
        <w:t>20 relays ($5 per swimmers x 4 relays) = $240</w:t>
      </w:r>
    </w:p>
    <w:p>
      <w:pPr>
        <w:pStyle w:val="Normal"/>
        <w:ind w:firstLine="72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Team outfitting ($20 per swimmer) (1 caps and 1 sweatshirt) + 7 staff = $1464</w:t>
      </w:r>
    </w:p>
    <w:p>
      <w:pPr>
        <w:pStyle w:val="Normal"/>
        <w:ind w:firstLine="720"/>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Possible social ?? – up to staff and LSC</w:t>
      </w:r>
    </w:p>
    <w:p>
      <w:pPr>
        <w:pStyle w:val="Normal"/>
        <w:ind w:firstLine="720"/>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Here is a link to the report to the mighty mid conference.  </w:t>
      </w:r>
      <w:hyperlink r:id="rId2">
        <w:r>
          <w:rPr>
            <w:rStyle w:val="InternetLink"/>
            <w:rFonts w:cs="Calibri" w:ascii="Calibri" w:hAnsi="Calibri" w:asciiTheme="majorHAnsi" w:cstheme="majorHAnsi" w:hAnsiTheme="majorHAnsi"/>
            <w:sz w:val="20"/>
            <w:szCs w:val="20"/>
          </w:rPr>
          <w:t>https://docs.google.com/document/d/1MncDCnl_dEEHwjThq6CfjKsJcmflRmKh/edit</w:t>
        </w:r>
      </w:hyperlink>
    </w:p>
    <w:p>
      <w:pPr>
        <w:pStyle w:val="Heading2"/>
        <w:spacing w:beforeAutospacing="0" w:before="360" w:afterAutospacing="0" w:after="120"/>
        <w:contextualSpacing/>
        <w:rPr>
          <w:rFonts w:ascii="Calibri" w:hAnsi="Calibri" w:cs="Calibri" w:asciiTheme="majorHAnsi" w:cstheme="majorHAnsi" w:hAnsiTheme="majorHAnsi"/>
          <w:sz w:val="20"/>
          <w:szCs w:val="20"/>
        </w:rPr>
      </w:pPr>
      <w:bookmarkStart w:id="19" w:name="_Toc125014736"/>
      <w:r>
        <w:rPr>
          <w:rFonts w:cs="Calibri" w:ascii="Calibri" w:hAnsi="Calibri" w:asciiTheme="majorHAnsi" w:cstheme="majorHAnsi" w:hAnsiTheme="majorHAnsi"/>
          <w:sz w:val="20"/>
          <w:szCs w:val="20"/>
        </w:rPr>
        <w:t>Coach Representative - Cathy Elgas</w:t>
      </w:r>
      <w:bookmarkEnd w:id="19"/>
    </w:p>
    <w:p>
      <w:pPr>
        <w:pStyle w:val="Heading2"/>
        <w:spacing w:before="360" w:after="120"/>
        <w:contextualSpacing/>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No report </w:t>
      </w:r>
      <w:bookmarkStart w:id="20" w:name="_Toc125014737"/>
    </w:p>
    <w:p>
      <w:pPr>
        <w:pStyle w:val="Normal"/>
        <w:spacing w:before="0" w:after="0"/>
        <w:contextualSpacing/>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spacing w:before="0" w:after="0"/>
        <w:contextualSpacing/>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AT Large Member – Amy Cox</w:t>
      </w:r>
      <w:bookmarkEnd w:id="20"/>
      <w:r>
        <w:rPr>
          <w:rFonts w:cs="Calibri" w:ascii="Calibri" w:hAnsi="Calibri" w:asciiTheme="majorHAnsi" w:cstheme="majorHAnsi" w:hAnsiTheme="majorHAnsi"/>
          <w:sz w:val="20"/>
          <w:szCs w:val="20"/>
        </w:rPr>
        <w:t xml:space="preserve"> </w:t>
      </w:r>
    </w:p>
    <w:p>
      <w:pPr>
        <w:pStyle w:val="Normal"/>
        <w:spacing w:before="0" w:after="0"/>
        <w:contextualSpacing/>
        <w:rPr>
          <w:rFonts w:ascii="Calibri" w:hAnsi="Calibri" w:cs="Calibri" w:asciiTheme="majorHAnsi" w:cstheme="majorHAnsi" w:hAnsiTheme="majorHAnsi"/>
          <w:sz w:val="20"/>
          <w:szCs w:val="20"/>
        </w:rPr>
      </w:pPr>
      <w:r>
        <w:rPr>
          <w:rFonts w:cs="Calibri" w:ascii="Calibri" w:hAnsi="Calibri" w:asciiTheme="majorHAnsi" w:cstheme="majorHAnsi" w:hAnsiTheme="majorHAnsi"/>
          <w:sz w:val="20"/>
          <w:szCs w:val="20"/>
        </w:rPr>
        <w:t xml:space="preserve">No report </w:t>
      </w:r>
      <w:bookmarkStart w:id="21" w:name="_Hlk135721484"/>
      <w:bookmarkEnd w:id="21"/>
    </w:p>
    <w:p>
      <w:pPr>
        <w:pStyle w:val="Normal"/>
        <w:spacing w:before="0" w:after="0"/>
        <w:contextualSpacing/>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spacing w:before="0" w:after="0"/>
        <w:contextualSpacing/>
        <w:rPr>
          <w:rFonts w:ascii="Calibri" w:hAnsi="Calibri" w:cs="Calibri" w:asciiTheme="majorHAnsi" w:cstheme="majorHAnsi" w:hAnsiTheme="majorHAnsi"/>
        </w:rPr>
      </w:pPr>
      <w:r>
        <w:rPr>
          <w:rFonts w:cs="Calibri" w:ascii="Calibri" w:hAnsi="Calibri" w:cstheme="majorHAnsi"/>
          <w:sz w:val="20"/>
          <w:szCs w:val="20"/>
        </w:rPr>
        <w:t>Other topics not on Agenda (new business):</w:t>
      </w:r>
    </w:p>
    <w:p>
      <w:pPr>
        <w:pStyle w:val="Normal"/>
        <w:spacing w:before="0" w:after="0"/>
        <w:contextualSpacing/>
        <w:rPr>
          <w:rFonts w:ascii="Calibri" w:hAnsi="Calibri" w:cs="Calibri" w:asciiTheme="majorHAnsi" w:cstheme="majorHAnsi" w:hAnsiTheme="majorHAnsi"/>
        </w:rPr>
      </w:pPr>
      <w:r>
        <w:rPr>
          <w:rFonts w:cs="Calibri" w:ascii="Calibri" w:hAnsi="Calibri" w:cstheme="majorHAnsi"/>
          <w:sz w:val="20"/>
          <w:szCs w:val="20"/>
        </w:rPr>
        <w:t xml:space="preserve">Newly elected admin vice chair and finance vice chair resigned after November 26 HOD elections. Dave is looking for potential people to fill these positions. Interested parties should contact dave at </w:t>
      </w:r>
      <w:hyperlink r:id="rId3">
        <w:r>
          <w:rPr>
            <w:rStyle w:val="InternetLink"/>
            <w:rFonts w:cs="Calibri" w:ascii="Calibri" w:hAnsi="Calibri" w:cstheme="majorHAnsi"/>
            <w:sz w:val="20"/>
            <w:szCs w:val="20"/>
          </w:rPr>
          <w:t>DaveKilmerSIGC@gmail.com</w:t>
        </w:r>
      </w:hyperlink>
      <w:r>
        <w:rPr>
          <w:rFonts w:cs="Calibri" w:ascii="Calibri" w:hAnsi="Calibri" w:cstheme="majorHAnsi"/>
          <w:sz w:val="20"/>
          <w:szCs w:val="20"/>
        </w:rPr>
        <w:t xml:space="preserve">  as soon as possible. Sammie Hail asked to be considered to Finance Vice Chair noting that she had a degree in Business Administration.</w:t>
      </w:r>
    </w:p>
    <w:p>
      <w:pPr>
        <w:pStyle w:val="Normal"/>
        <w:spacing w:before="0" w:after="0"/>
        <w:contextualSpacing/>
        <w:rPr>
          <w:rFonts w:ascii="Calibri" w:hAnsi="Calibri" w:cs="Calibri"/>
          <w:sz w:val="20"/>
          <w:szCs w:val="20"/>
        </w:rPr>
      </w:pPr>
      <w:r>
        <w:rPr>
          <w:rFonts w:cs="Calibri" w:ascii="Calibri" w:hAnsi="Calibri"/>
          <w:sz w:val="20"/>
          <w:szCs w:val="20"/>
        </w:rPr>
      </w:r>
    </w:p>
    <w:p>
      <w:pPr>
        <w:pStyle w:val="Normal"/>
        <w:spacing w:before="0" w:after="0"/>
        <w:contextualSpacing/>
        <w:rPr>
          <w:rFonts w:ascii="Calibri" w:hAnsi="Calibri" w:cs="Calibri" w:asciiTheme="majorHAnsi" w:cstheme="majorHAnsi" w:hAnsiTheme="majorHAnsi"/>
        </w:rPr>
      </w:pPr>
      <w:r>
        <w:rPr>
          <w:rFonts w:cs="Calibri" w:ascii="Calibri" w:hAnsi="Calibri" w:cstheme="majorHAnsi"/>
          <w:sz w:val="20"/>
          <w:szCs w:val="20"/>
        </w:rPr>
        <w:t>Dave pointed out that the nominating committee, per our bylaws, is a 1 year term, and should have had members voted in at the HOD meeting. Since this did not occur, Dave will ask USA swimming what are options are since the bylaws require an HOD vote for this – to see what our options are. We may have to hold another HOD meeting but Dave hopes there is a way to avoid this.</w:t>
      </w:r>
    </w:p>
    <w:p>
      <w:pPr>
        <w:pStyle w:val="Normal"/>
        <w:spacing w:before="0" w:after="0"/>
        <w:contextualSpacing/>
        <w:rPr>
          <w:rFonts w:ascii="Calibri" w:hAnsi="Calibri" w:cs="Calibri"/>
          <w:sz w:val="20"/>
          <w:szCs w:val="20"/>
        </w:rPr>
      </w:pPr>
      <w:r>
        <w:rPr>
          <w:rFonts w:cs="Calibri" w:ascii="Calibri" w:hAnsi="Calibri"/>
          <w:sz w:val="20"/>
          <w:szCs w:val="20"/>
        </w:rPr>
      </w:r>
    </w:p>
    <w:p>
      <w:pPr>
        <w:pStyle w:val="Normal"/>
        <w:spacing w:before="0" w:after="0"/>
        <w:contextualSpacing/>
        <w:rPr>
          <w:rFonts w:ascii="Calibri" w:hAnsi="Calibri" w:cs="Calibri" w:cstheme="majorHAnsi"/>
          <w:color w:val="000000"/>
          <w:sz w:val="20"/>
          <w:szCs w:val="20"/>
        </w:rPr>
      </w:pPr>
      <w:r>
        <w:rPr>
          <w:rFonts w:cs="Calibri" w:ascii="Calibri" w:hAnsi="Calibri" w:cstheme="majorHAnsi"/>
          <w:color w:val="000000"/>
          <w:sz w:val="20"/>
          <w:szCs w:val="20"/>
        </w:rPr>
        <w:t xml:space="preserve">Dave created a task force to look into the future of timing at SI meets so they could bring back ideas and recommendations for board consideration. Currently assigned are: Sean Redmond, Kevin Chester, Scott Lawson, and Isabella Dang. We also Asked Bob Horne to seek out interested officials so they could be represented. </w:t>
      </w:r>
    </w:p>
    <w:p>
      <w:pPr>
        <w:pStyle w:val="Normal"/>
        <w:spacing w:before="0" w:after="0"/>
        <w:contextualSpacing/>
        <w:rPr>
          <w:rFonts w:ascii="Calibri" w:hAnsi="Calibri" w:cs="Calibri" w:cstheme="majorHAnsi"/>
          <w:color w:val="000000"/>
          <w:sz w:val="20"/>
          <w:szCs w:val="20"/>
        </w:rPr>
      </w:pPr>
      <w:r>
        <w:rPr>
          <w:rFonts w:cs="Calibri" w:cstheme="majorHAnsi" w:ascii="Calibri" w:hAnsi="Calibri"/>
          <w:color w:val="000000"/>
          <w:sz w:val="20"/>
          <w:szCs w:val="20"/>
        </w:rPr>
      </w:r>
    </w:p>
    <w:p>
      <w:pPr>
        <w:pStyle w:val="Normal"/>
        <w:spacing w:before="0" w:after="0"/>
        <w:contextualSpacing/>
        <w:rPr>
          <w:rFonts w:ascii="Calibri" w:hAnsi="Calibri" w:cs="Calibri" w:cstheme="majorHAnsi"/>
          <w:sz w:val="20"/>
          <w:szCs w:val="20"/>
        </w:rPr>
      </w:pPr>
      <w:r>
        <w:rPr>
          <w:rFonts w:cs="Calibri" w:ascii="Calibri" w:hAnsi="Calibri" w:cstheme="majorHAnsi"/>
          <w:sz w:val="20"/>
          <w:szCs w:val="20"/>
        </w:rPr>
        <w:t xml:space="preserve">Next Meeting:   Sunday, </w:t>
      </w:r>
      <w:r>
        <w:rPr>
          <w:rFonts w:cs="Calibri" w:ascii="Calibri" w:hAnsi="Calibri" w:cstheme="majorHAnsi"/>
          <w:sz w:val="20"/>
          <w:szCs w:val="20"/>
          <w:shd w:fill="FFFF00" w:val="clear"/>
        </w:rPr>
        <w:t>January 21</w:t>
      </w:r>
      <w:r>
        <w:rPr>
          <w:rFonts w:cs="Calibri" w:ascii="Calibri" w:hAnsi="Calibri" w:cstheme="majorHAnsi"/>
          <w:sz w:val="20"/>
          <w:szCs w:val="20"/>
          <w:shd w:fill="FFFF00" w:val="clear"/>
          <w:vertAlign w:val="superscript"/>
        </w:rPr>
        <w:t>st</w:t>
      </w:r>
      <w:r>
        <w:rPr>
          <w:rFonts w:cs="Calibri" w:ascii="Calibri" w:hAnsi="Calibri" w:cstheme="majorHAnsi"/>
          <w:sz w:val="20"/>
          <w:szCs w:val="20"/>
        </w:rPr>
        <w:t xml:space="preserve"> @ 700 pm (so not to conflict with MLK weekend) </w:t>
      </w:r>
    </w:p>
    <w:p>
      <w:pPr>
        <w:pStyle w:val="Normal"/>
        <w:spacing w:before="0" w:after="0"/>
        <w:contextualSpacing/>
        <w:rPr>
          <w:rFonts w:ascii="Calibri" w:hAnsi="Calibri" w:cs="Calibri" w:cstheme="majorHAnsi"/>
          <w:sz w:val="20"/>
          <w:szCs w:val="20"/>
        </w:rPr>
      </w:pPr>
      <w:r>
        <w:rPr>
          <w:rFonts w:cs="Calibri" w:cstheme="majorHAnsi" w:ascii="Calibri" w:hAnsi="Calibri"/>
          <w:sz w:val="20"/>
          <w:szCs w:val="20"/>
        </w:rPr>
      </w:r>
    </w:p>
    <w:p>
      <w:pPr>
        <w:pStyle w:val="Normal"/>
        <w:spacing w:before="0" w:after="0"/>
        <w:contextualSpacing/>
        <w:rPr>
          <w:rFonts w:ascii="Calibri" w:hAnsi="Calibri" w:cs="Calibri" w:cstheme="majorHAnsi"/>
          <w:sz w:val="20"/>
          <w:szCs w:val="20"/>
        </w:rPr>
      </w:pPr>
      <w:r>
        <w:rPr>
          <w:rFonts w:cs="Calibri" w:ascii="Calibri" w:hAnsi="Calibri" w:cstheme="majorHAnsi"/>
          <w:sz w:val="20"/>
          <w:szCs w:val="20"/>
        </w:rPr>
        <w:t>M/S/P  Consent Agenda</w:t>
      </w:r>
    </w:p>
    <w:p>
      <w:pPr>
        <w:pStyle w:val="Normal"/>
        <w:spacing w:before="0" w:after="0"/>
        <w:contextualSpacing/>
        <w:rPr>
          <w:rFonts w:ascii="Calibri" w:hAnsi="Calibri" w:cs="Calibri" w:cstheme="majorHAnsi"/>
          <w:sz w:val="20"/>
          <w:szCs w:val="20"/>
        </w:rPr>
      </w:pPr>
      <w:r>
        <w:rPr>
          <w:rFonts w:cs="Calibri" w:cstheme="majorHAnsi" w:ascii="Calibri" w:hAnsi="Calibri"/>
          <w:sz w:val="20"/>
          <w:szCs w:val="20"/>
        </w:rPr>
      </w:r>
    </w:p>
    <w:p>
      <w:pPr>
        <w:pStyle w:val="Normal"/>
        <w:spacing w:before="0" w:after="0"/>
        <w:contextualSpacing/>
        <w:rPr>
          <w:rFonts w:ascii="Calibri" w:hAnsi="Calibri" w:cs="Calibri" w:cstheme="majorHAnsi"/>
          <w:sz w:val="20"/>
          <w:szCs w:val="20"/>
        </w:rPr>
      </w:pPr>
      <w:r>
        <w:rPr>
          <w:rFonts w:cs="Calibri" w:ascii="Calibri" w:hAnsi="Calibri" w:cstheme="majorHAnsi"/>
          <w:sz w:val="20"/>
          <w:szCs w:val="20"/>
        </w:rPr>
        <w:t xml:space="preserve">ATTENDEES:  </w:t>
      </w:r>
    </w:p>
    <w:p>
      <w:pPr>
        <w:pStyle w:val="Normal"/>
        <w:spacing w:before="0" w:after="0"/>
        <w:contextualSpacing/>
        <w:rPr>
          <w:rFonts w:ascii="Calibri" w:hAnsi="Calibri" w:cs="Calibri" w:asciiTheme="majorHAnsi" w:cstheme="majorHAnsi" w:hAnsiTheme="majorHAnsi"/>
        </w:rPr>
      </w:pPr>
      <w:r>
        <w:rPr>
          <w:rFonts w:cs="Calibri" w:ascii="Calibri" w:hAnsi="Calibri" w:cstheme="majorHAnsi"/>
          <w:sz w:val="20"/>
          <w:szCs w:val="20"/>
        </w:rPr>
        <w:t>Dave Kilmer, Deb Baldwin, Bulat (RSD), Sean Redmond, Mary Redmond, Melissa Eisenhamer, Bill Eisenhamer, Bob Horne, John McGlynn, Vinh Dang, Pete McVey, Isabella Dang, Kevin Chester, Sammy Hail, Anhton Tran, Catherine Rowe, Scott Lawson,  Brian Davis, Cathy Elgas, Krissy Payton.</w:t>
      </w:r>
    </w:p>
    <w:p>
      <w:pPr>
        <w:pStyle w:val="Normal"/>
        <w:spacing w:before="0" w:after="0"/>
        <w:contextualSpacing/>
        <w:rPr>
          <w:rFonts w:ascii="Calibri" w:hAnsi="Calibri" w:cs="Calibri"/>
          <w:sz w:val="20"/>
          <w:szCs w:val="20"/>
        </w:rPr>
      </w:pPr>
      <w:r>
        <w:rPr>
          <w:rFonts w:cs="Calibri" w:ascii="Calibri" w:hAnsi="Calibri"/>
          <w:sz w:val="20"/>
          <w:szCs w:val="20"/>
        </w:rPr>
      </w:r>
    </w:p>
    <w:p>
      <w:pPr>
        <w:pStyle w:val="Normal"/>
        <w:spacing w:before="0" w:after="0"/>
        <w:contextualSpacing/>
        <w:rPr>
          <w:rFonts w:ascii="Calibri" w:hAnsi="Calibri" w:cs="Calibri" w:asciiTheme="majorHAnsi" w:cstheme="majorHAnsi" w:hAnsiTheme="majorHAnsi"/>
          <w:sz w:val="20"/>
          <w:szCs w:val="20"/>
        </w:rPr>
      </w:pPr>
      <w:r>
        <w:rPr/>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080" w:right="1080" w:gutter="0" w:header="0" w:top="720" w:footer="0" w:bottom="720"/>
      <w:pgNumType w:start="1"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265034841"/>
    </w:sdtPr>
    <w:sdtContent>
      <w:p>
        <w:pPr>
          <w:pStyle w:val="Header"/>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path="l-2147483642,-2147483642l-2147483631,-2147483630l-2147483641,0l-2147483642,-2147483642l-2147483629,-2147483628l-2147483632,-2147483640l-2147483642,-2147483642xe" fillcolor="silver" stroked="f" o:allowincell="f" style="position:absolute;margin-left:45.85pt;margin-top:283.25pt;width:412.35pt;height:156.75pt;mso-wrap-style:none;v-text-anchor:middle;rotation:315;mso-position-horizontal:center;mso-position-horizontal-relative:margin;mso-position-vertical:center;mso-position-vertical-relative:margin" type="_x0000_t136">
              <v:path textpathok="t"/>
              <v:textpath on="t" fitshape="t" string="DRAFT" trim="t" style="font-family:&quot;Calibri&quot;;font-size:1pt"/>
              <v:fill o:detectmouseclick="t" type="solid" color2="#3f3f3f" opacity="0.5"/>
              <v:stroke color="#0f6fc6" joinstyle="miter" endcap="flat"/>
              <v:shadow on="t" obscured="f" color="#032647"/>
              <w10:wrap type="none"/>
            </v:shape>
          </w:pict>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647152244"/>
    </w:sdtPr>
    <w:sdtContent>
      <w:p>
        <w:pPr>
          <w:pStyle w:val="Header"/>
          <w:rPr/>
        </w:pPr>
        <w:r>
          <w:rPr/>
          <w:pict>
            <v:shape id="PowerPlusWaterMarkObject357831064" o:spid="shape_0" path="l-2147483642,-2147483642l-2147483631,-2147483630l-2147483641,0l-2147483642,-2147483642l-2147483629,-2147483628l-2147483632,-2147483640l-2147483642,-2147483642xe" fillcolor="silver" stroked="f" o:allowincell="f" style="position:absolute;margin-left:45.85pt;margin-top:283.25pt;width:412.35pt;height:156.75pt;mso-wrap-style:none;v-text-anchor:middle;rotation:315;mso-position-horizontal:center;mso-position-horizontal-relative:margin;mso-position-vertical:center;mso-position-vertical-relative:margin" type="_x0000_t136">
              <v:path textpathok="t"/>
              <v:textpath on="t" fitshape="t" string="DRAFT" trim="t" style="font-family:&quot;Calibri&quot;;font-size:1pt"/>
              <v:fill o:detectmouseclick="t" type="solid" color2="#3f3f3f" opacity="0.5"/>
              <v:stroke color="#0f6fc6" joinstyle="miter" endcap="flat"/>
              <v:shadow on="t" obscured="f" color="#032647"/>
              <w10:wrap type="none"/>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en-US" w:bidi="ar-SA"/>
    </w:rPr>
  </w:style>
  <w:style w:type="paragraph" w:styleId="Heading1">
    <w:name w:val="Heading 1"/>
    <w:basedOn w:val="Normal"/>
    <w:next w:val="Normal"/>
    <w:qFormat/>
    <w:pPr>
      <w:keepNext w:val="true"/>
      <w:keepLines/>
      <w:spacing w:before="400" w:after="120"/>
      <w:outlineLvl w:val="0"/>
    </w:pPr>
    <w:rPr>
      <w:sz w:val="40"/>
      <w:szCs w:val="40"/>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2214a"/>
    <w:rPr>
      <w:color w:val="0000FF" w:themeColor="hyperlink"/>
      <w:u w:val="single"/>
    </w:rPr>
  </w:style>
  <w:style w:type="character" w:styleId="BalloonTextChar" w:customStyle="1">
    <w:name w:val="Balloon Text Char"/>
    <w:basedOn w:val="DefaultParagraphFont"/>
    <w:link w:val="BalloonText"/>
    <w:uiPriority w:val="99"/>
    <w:semiHidden/>
    <w:qFormat/>
    <w:rsid w:val="009f6966"/>
    <w:rPr>
      <w:rFonts w:ascii="Segoe UI" w:hAnsi="Segoe UI" w:cs="Segoe UI"/>
      <w:sz w:val="18"/>
      <w:szCs w:val="18"/>
    </w:rPr>
  </w:style>
  <w:style w:type="character" w:styleId="Annotationreference">
    <w:name w:val="annotation reference"/>
    <w:basedOn w:val="DefaultParagraphFont"/>
    <w:uiPriority w:val="99"/>
    <w:semiHidden/>
    <w:unhideWhenUsed/>
    <w:qFormat/>
    <w:rsid w:val="00927417"/>
    <w:rPr>
      <w:sz w:val="16"/>
      <w:szCs w:val="16"/>
    </w:rPr>
  </w:style>
  <w:style w:type="character" w:styleId="CommentTextChar" w:customStyle="1">
    <w:name w:val="Comment Text Char"/>
    <w:basedOn w:val="DefaultParagraphFont"/>
    <w:link w:val="CommentText"/>
    <w:uiPriority w:val="99"/>
    <w:semiHidden/>
    <w:qFormat/>
    <w:rsid w:val="00927417"/>
    <w:rPr>
      <w:rFonts w:ascii="Cambria" w:hAnsi="Cambria" w:eastAsia="" w:cs="" w:asciiTheme="minorHAnsi" w:cstheme="minorBidi" w:eastAsiaTheme="minorEastAsia" w:hAnsiTheme="minorHAnsi"/>
      <w:sz w:val="20"/>
      <w:szCs w:val="20"/>
      <w:lang w:val="en-US"/>
    </w:rPr>
  </w:style>
  <w:style w:type="character" w:styleId="CommentSubjectChar" w:customStyle="1">
    <w:name w:val="Comment Subject Char"/>
    <w:basedOn w:val="CommentTextChar"/>
    <w:link w:val="CommentSubject"/>
    <w:uiPriority w:val="99"/>
    <w:semiHidden/>
    <w:qFormat/>
    <w:rsid w:val="00927417"/>
    <w:rPr>
      <w:rFonts w:ascii="Cambria" w:hAnsi="Cambria" w:eastAsia="" w:cs="" w:asciiTheme="minorHAnsi" w:cstheme="minorBidi" w:eastAsiaTheme="minorEastAsia" w:hAnsiTheme="minorHAnsi"/>
      <w:b/>
      <w:bCs/>
      <w:sz w:val="20"/>
      <w:szCs w:val="20"/>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character" w:styleId="UnresolvedMention">
    <w:name w:val="Unresolved Mention"/>
    <w:basedOn w:val="DefaultParagraphFont"/>
    <w:uiPriority w:val="99"/>
    <w:semiHidden/>
    <w:unhideWhenUsed/>
    <w:qFormat/>
    <w:rsid w:val="00504f0c"/>
    <w:rPr>
      <w:color w:val="605E5C"/>
      <w:shd w:fill="E1DFDD" w:val="clear"/>
    </w:rPr>
  </w:style>
  <w:style w:type="character" w:styleId="IndexLink" w:customStyle="1">
    <w:name w:val="Index Link"/>
    <w:qFormat/>
    <w:rPr/>
  </w:style>
  <w:style w:type="character" w:styleId="HeaderChar" w:customStyle="1">
    <w:name w:val="Header Char"/>
    <w:basedOn w:val="DefaultParagraphFont"/>
    <w:link w:val="Header"/>
    <w:uiPriority w:val="99"/>
    <w:qFormat/>
    <w:rsid w:val="00d92638"/>
    <w:rPr/>
  </w:style>
  <w:style w:type="character" w:styleId="FooterChar" w:customStyle="1">
    <w:name w:val="Footer Char"/>
    <w:basedOn w:val="DefaultParagraphFont"/>
    <w:link w:val="Footer"/>
    <w:uiPriority w:val="99"/>
    <w:qFormat/>
    <w:rsid w:val="00d92638"/>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Contents2">
    <w:name w:val="TOC 2"/>
    <w:basedOn w:val="Normal"/>
    <w:next w:val="Normal"/>
    <w:autoRedefine/>
    <w:uiPriority w:val="39"/>
    <w:unhideWhenUsed/>
    <w:rsid w:val="00e930c4"/>
    <w:pPr>
      <w:tabs>
        <w:tab w:val="clear" w:pos="720"/>
        <w:tab w:val="right" w:pos="10070" w:leader="dot"/>
      </w:tabs>
      <w:spacing w:before="0" w:after="100"/>
      <w:ind w:left="220" w:hanging="0"/>
    </w:pPr>
    <w:rPr/>
  </w:style>
  <w:style w:type="paragraph" w:styleId="Contents3">
    <w:name w:val="TOC 3"/>
    <w:basedOn w:val="Normal"/>
    <w:next w:val="Normal"/>
    <w:autoRedefine/>
    <w:uiPriority w:val="39"/>
    <w:unhideWhenUsed/>
    <w:rsid w:val="00a2214a"/>
    <w:pPr>
      <w:spacing w:before="0" w:after="100"/>
      <w:ind w:left="440" w:hanging="0"/>
    </w:pPr>
    <w:rPr/>
  </w:style>
  <w:style w:type="paragraph" w:styleId="ListParagraph">
    <w:name w:val="List Paragraph"/>
    <w:basedOn w:val="Normal"/>
    <w:uiPriority w:val="34"/>
    <w:qFormat/>
    <w:rsid w:val="005a0049"/>
    <w:pPr>
      <w:spacing w:lineRule="auto" w:line="240" w:before="0" w:after="0"/>
      <w:ind w:left="720" w:hanging="0"/>
      <w:contextualSpacing/>
    </w:pPr>
    <w:rPr>
      <w:rFonts w:ascii="Cambria" w:hAnsi="Cambria" w:eastAsia="Cambria" w:cs="" w:asciiTheme="minorHAnsi" w:cstheme="minorBidi" w:eastAsiaTheme="minorHAnsi" w:hAnsiTheme="minorHAnsi"/>
      <w:lang w:val="en-US"/>
    </w:rPr>
  </w:style>
  <w:style w:type="paragraph" w:styleId="NormalWeb">
    <w:name w:val="Normal (Web)"/>
    <w:basedOn w:val="Normal"/>
    <w:uiPriority w:val="99"/>
    <w:unhideWhenUsed/>
    <w:qFormat/>
    <w:rsid w:val="005a0049"/>
    <w:pPr>
      <w:spacing w:lineRule="auto" w:line="240" w:beforeAutospacing="1" w:afterAutospacing="1"/>
    </w:pPr>
    <w:rPr>
      <w:rFonts w:ascii="Times New Roman" w:hAnsi="Times New Roman" w:eastAsia="Times New Roman" w:cs="Times New Roman"/>
      <w:sz w:val="24"/>
      <w:szCs w:val="24"/>
      <w:lang w:val="en-US"/>
    </w:rPr>
  </w:style>
  <w:style w:type="paragraph" w:styleId="NoSpacing">
    <w:name w:val="No Spacing"/>
    <w:uiPriority w:val="1"/>
    <w:qFormat/>
    <w:rsid w:val="006a11ef"/>
    <w:pPr>
      <w:widowControl/>
      <w:suppressAutoHyphens w:val="true"/>
      <w:bidi w:val="0"/>
      <w:spacing w:before="0" w:after="0"/>
      <w:jc w:val="left"/>
    </w:pPr>
    <w:rPr>
      <w:rFonts w:ascii="Cambria" w:hAnsi="Cambria" w:eastAsia="Cambria" w:cs="" w:asciiTheme="minorHAnsi" w:cstheme="minorBidi" w:eastAsiaTheme="minorHAnsi" w:hAnsiTheme="minorHAnsi"/>
      <w:color w:val="auto"/>
      <w:kern w:val="0"/>
      <w:sz w:val="22"/>
      <w:szCs w:val="22"/>
      <w:lang w:val="en-US" w:eastAsia="en-US" w:bidi="ar-SA"/>
    </w:rPr>
  </w:style>
  <w:style w:type="paragraph" w:styleId="Contents1">
    <w:name w:val="TOC 1"/>
    <w:basedOn w:val="Normal"/>
    <w:next w:val="Normal"/>
    <w:autoRedefine/>
    <w:uiPriority w:val="39"/>
    <w:unhideWhenUsed/>
    <w:rsid w:val="00a33560"/>
    <w:pPr>
      <w:spacing w:before="0" w:after="100"/>
    </w:pPr>
    <w:rPr/>
  </w:style>
  <w:style w:type="paragraph" w:styleId="BalloonText">
    <w:name w:val="Balloon Text"/>
    <w:basedOn w:val="Normal"/>
    <w:link w:val="BalloonTextChar"/>
    <w:uiPriority w:val="99"/>
    <w:semiHidden/>
    <w:unhideWhenUsed/>
    <w:qFormat/>
    <w:rsid w:val="009f6966"/>
    <w:pPr>
      <w:spacing w:lineRule="auto" w:line="24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927417"/>
    <w:pPr>
      <w:spacing w:lineRule="auto" w:line="240"/>
    </w:pPr>
    <w:rPr>
      <w:rFonts w:ascii="Cambria" w:hAnsi="Cambria" w:eastAsia="" w:cs="" w:asciiTheme="minorHAnsi" w:cstheme="minorBidi" w:eastAsiaTheme="minorEastAsia" w:hAnsiTheme="minorHAnsi"/>
      <w:sz w:val="20"/>
      <w:szCs w:val="20"/>
      <w:lang w:val="en-US"/>
    </w:rPr>
  </w:style>
  <w:style w:type="paragraph" w:styleId="Annotationsubject">
    <w:name w:val="annotation subject"/>
    <w:basedOn w:val="Annotationtext"/>
    <w:next w:val="Annotationtext"/>
    <w:link w:val="CommentSubjectChar"/>
    <w:uiPriority w:val="99"/>
    <w:semiHidden/>
    <w:unhideWhenUsed/>
    <w:qFormat/>
    <w:rsid w:val="00927417"/>
    <w:pPr/>
    <w:rPr>
      <w:rFonts w:ascii="Arial" w:hAnsi="Arial" w:eastAsia="Arial" w:cs="Arial"/>
      <w:b/>
      <w:bCs/>
      <w:lang w:val="en"/>
    </w:rPr>
  </w:style>
  <w:style w:type="paragraph" w:styleId="Contents4">
    <w:name w:val="TOC 4"/>
    <w:basedOn w:val="Normal"/>
    <w:next w:val="Normal"/>
    <w:autoRedefine/>
    <w:uiPriority w:val="39"/>
    <w:unhideWhenUsed/>
    <w:rsid w:val="00007bcb"/>
    <w:pPr>
      <w:spacing w:before="0" w:after="100"/>
      <w:ind w:left="660" w:hanging="0"/>
    </w:pPr>
    <w:rPr/>
  </w:style>
  <w:style w:type="paragraph" w:styleId="TableParagraph" w:customStyle="1">
    <w:name w:val="Table Paragraph"/>
    <w:basedOn w:val="Normal"/>
    <w:uiPriority w:val="1"/>
    <w:qFormat/>
    <w:rsid w:val="00686581"/>
    <w:pPr>
      <w:widowControl w:val="false"/>
      <w:spacing w:lineRule="exact" w:line="224"/>
      <w:jc w:val="center"/>
    </w:pPr>
    <w:rPr>
      <w:rFonts w:ascii="Cambria" w:hAnsi="Cambria" w:eastAsia="Cambria" w:cs="Cambria"/>
      <w:lang w:val="en-US"/>
    </w:rPr>
  </w:style>
  <w:style w:type="paragraph" w:styleId="Standard" w:customStyle="1">
    <w:name w:val="Standard"/>
    <w:qFormat/>
    <w:rsid w:val="00c83637"/>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en-US" w:eastAsia="zh-CN" w:bidi="hi-IN"/>
    </w:rPr>
  </w:style>
  <w:style w:type="paragraph" w:styleId="M1526177823908276852msolistparagraph" w:customStyle="1">
    <w:name w:val="m_1526177823908276852msolistparagraph"/>
    <w:basedOn w:val="Normal"/>
    <w:qFormat/>
    <w:rsid w:val="005f4990"/>
    <w:pPr>
      <w:spacing w:lineRule="auto" w:line="240" w:beforeAutospacing="1" w:afterAutospacing="1"/>
    </w:pPr>
    <w:rPr>
      <w:rFonts w:ascii="Calibri" w:hAnsi="Calibri" w:eastAsia="Cambria" w:cs="Calibri" w:eastAsiaTheme="minorHAnsi"/>
      <w:lang w:val="en-US"/>
    </w:rPr>
  </w:style>
  <w:style w:type="paragraph" w:styleId="M654507447927111261msolistparagraph" w:customStyle="1">
    <w:name w:val="m_-654507447927111261msolistparagraph"/>
    <w:basedOn w:val="Normal"/>
    <w:qFormat/>
    <w:rsid w:val="004e5a7e"/>
    <w:pPr>
      <w:spacing w:lineRule="auto" w:line="240" w:beforeAutospacing="1" w:afterAutospacing="1"/>
    </w:pPr>
    <w:rPr>
      <w:rFonts w:ascii="Calibri" w:hAnsi="Calibri" w:eastAsia="Cambria" w:cs="Calibri" w:eastAsiaTheme="minorHAnsi"/>
      <w:lang w:val="en-US"/>
    </w:rPr>
  </w:style>
  <w:style w:type="paragraph" w:styleId="HeaderandFooter">
    <w:name w:val="Header and Footer"/>
    <w:basedOn w:val="Normal"/>
    <w:qFormat/>
    <w:pPr/>
    <w:rPr/>
  </w:style>
  <w:style w:type="paragraph" w:styleId="Header">
    <w:name w:val="Header"/>
    <w:basedOn w:val="Normal"/>
    <w:link w:val="HeaderChar"/>
    <w:uiPriority w:val="99"/>
    <w:unhideWhenUsed/>
    <w:rsid w:val="00d92638"/>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d92638"/>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4d45b9"/>
    <w:rPr>
      <w:rFonts w:asciiTheme="minorHAnsi" w:hAnsiTheme="minorHAnsi" w:eastAsiaTheme="minorHAnsi" w:cstheme="minorBidi"/>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8d58ad"/>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document/d/1MncDCnl_dEEHwjThq6CfjKsJcmflRmKh/edit" TargetMode="External"/><Relationship Id="rId3" Type="http://schemas.openxmlformats.org/officeDocument/2006/relationships/hyperlink" Target="mailto:DaveKilmerSIGC@gmail.co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4C7C-62E3-48FD-BE6B-C120E525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LibreOffice/7.2.0.4$Windows_X86_64 LibreOffice_project/9a9c6381e3f7a62afc1329bd359cc48accb6435b</Application>
  <AppVersion>15.0000</AppVersion>
  <Pages>6</Pages>
  <Words>1810</Words>
  <Characters>9380</Characters>
  <CharactersWithSpaces>11124</CharactersWithSpaces>
  <Paragraphs>333</Paragraphs>
  <Company>Sapphire Energy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2023-12-05T00:57:00Z</dcterms:created>
  <dc:creator>Sally Taggart</dc:creator>
  <dc:description/>
  <dc:language>en-US</dc:language>
  <cp:lastModifiedBy/>
  <cp:lastPrinted>2020-01-23T06:02:00Z</cp:lastPrinted>
  <dcterms:modified xsi:type="dcterms:W3CDTF">2024-01-21T13:10:29Z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